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2"/>
          <w:szCs w:val="32"/>
        </w:rPr>
        <w:t>2018年度南县司法局办案业务经费</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绩效评价报告</w:t>
      </w:r>
    </w:p>
    <w:p>
      <w:pPr>
        <w:shd w:val="clear" w:color="auto" w:fill="FFFFFF"/>
        <w:spacing w:line="450" w:lineRule="atLeast"/>
        <w:ind w:firstLine="2025" w:firstLineChars="750"/>
        <w:rPr>
          <w:rFonts w:ascii="微软雅黑" w:hAnsi="微软雅黑" w:eastAsia="微软雅黑" w:cs="宋体"/>
          <w:bCs/>
          <w:color w:val="333333"/>
          <w:kern w:val="0"/>
          <w:sz w:val="27"/>
          <w:szCs w:val="27"/>
        </w:rPr>
      </w:pPr>
      <w:r>
        <w:rPr>
          <w:rFonts w:hint="eastAsia" w:ascii="微软雅黑" w:hAnsi="微软雅黑" w:eastAsia="微软雅黑" w:cs="宋体"/>
          <w:bCs/>
          <w:color w:val="333333"/>
          <w:kern w:val="0"/>
          <w:sz w:val="27"/>
          <w:szCs w:val="27"/>
        </w:rPr>
        <w:t>湖南新财苑会计师事务所有限公司</w:t>
      </w:r>
    </w:p>
    <w:p>
      <w:pPr>
        <w:ind w:firstLine="600" w:firstLineChars="200"/>
        <w:rPr>
          <w:rFonts w:ascii="仿宋" w:hAnsi="仿宋" w:eastAsia="仿宋"/>
          <w:sz w:val="30"/>
          <w:szCs w:val="30"/>
        </w:rPr>
      </w:pPr>
      <w:r>
        <w:rPr>
          <w:rFonts w:hint="eastAsia" w:ascii="仿宋" w:hAnsi="仿宋" w:eastAsia="仿宋"/>
          <w:sz w:val="30"/>
          <w:szCs w:val="30"/>
        </w:rPr>
        <w:t>为进一步规范财政资金管理，强化财政资金支出绩效理念，切实提高财政资金使用效益，根据</w:t>
      </w:r>
      <w:r>
        <w:rPr>
          <w:rFonts w:hint="eastAsia" w:ascii="仿宋" w:hAnsi="仿宋" w:eastAsia="仿宋"/>
          <w:sz w:val="30"/>
          <w:szCs w:val="30"/>
          <w:shd w:val="clear" w:color="auto" w:fill="FFFFFF"/>
        </w:rPr>
        <w:t>《中共中央 国务院关于全面实施预算绩效管理的意见》（中发〔2018〕34号）、</w:t>
      </w:r>
      <w:r>
        <w:rPr>
          <w:rFonts w:hint="eastAsia" w:ascii="仿宋" w:hAnsi="仿宋" w:eastAsia="仿宋"/>
          <w:sz w:val="30"/>
          <w:szCs w:val="30"/>
        </w:rPr>
        <w:t>《预算绩效管理工作考核办法》（湘财绩〔2015〕15号）和《省财政厅2019年工作规划》等文件</w:t>
      </w:r>
      <w:r>
        <w:rPr>
          <w:rFonts w:hint="eastAsia" w:ascii="仿宋" w:hAnsi="仿宋" w:eastAsia="仿宋"/>
          <w:sz w:val="30"/>
          <w:szCs w:val="30"/>
          <w:shd w:val="clear" w:color="auto" w:fill="FFFFFF"/>
        </w:rPr>
        <w:t>要求</w:t>
      </w:r>
      <w:r>
        <w:rPr>
          <w:rFonts w:hint="eastAsia" w:ascii="仿宋" w:hAnsi="仿宋" w:eastAsia="仿宋"/>
          <w:sz w:val="30"/>
          <w:szCs w:val="30"/>
        </w:rPr>
        <w:t>，受南县财政局的委托，我所成立专项资金绩效评价工作组，于2019年4月26日—7月5日对2018年度对南县司法局办案业务专项工作经费以下简称项目资金）开展了绩效评价。现将有关情况报告如下：</w:t>
      </w:r>
    </w:p>
    <w:p>
      <w:pPr>
        <w:pStyle w:val="8"/>
        <w:ind w:firstLine="803" w:firstLineChars="250"/>
        <w:rPr>
          <w:b/>
          <w:sz w:val="32"/>
          <w:szCs w:val="32"/>
        </w:rPr>
      </w:pPr>
    </w:p>
    <w:p>
      <w:pPr>
        <w:pStyle w:val="8"/>
        <w:ind w:firstLine="803" w:firstLineChars="250"/>
        <w:rPr>
          <w:b/>
          <w:sz w:val="32"/>
          <w:szCs w:val="32"/>
        </w:rPr>
      </w:pPr>
      <w:r>
        <w:rPr>
          <w:rFonts w:hint="eastAsia"/>
          <w:b/>
          <w:sz w:val="32"/>
          <w:szCs w:val="32"/>
        </w:rPr>
        <w:t>一、基本情况</w:t>
      </w:r>
    </w:p>
    <w:p>
      <w:pPr>
        <w:pStyle w:val="4"/>
        <w:shd w:val="clear" w:color="auto" w:fill="FFFFFF"/>
        <w:spacing w:before="0" w:beforeAutospacing="0" w:after="0" w:afterAutospacing="0"/>
        <w:ind w:firstLine="482"/>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一）项目单位基本情况。南县司法局是南县人民政府主管人民调解、社区矫正安置帮教、法治宣传、法律援助、司法鉴定、公证服务、律师管理等业务的司法行政部门。全局现有在职人员54人，离退休人员35人。总编制为66个，其中行政编53个、全额事业编8个，自收自支事业编5个。内设职能科室9个（含纪检监察室、机关党委），共有12个司法所。局属二级事业单位1个，其中副科级事业单位1个（南县公证处）。担负着全县综治维稳、普法宣传、法律援助、人民调解、社区矫正、两劳回归人员的安置帮教、公证和法律服务等职能，是我县面向群众、服务群众的一个重要职能部门。</w:t>
      </w:r>
    </w:p>
    <w:p>
      <w:pPr>
        <w:pStyle w:val="4"/>
        <w:shd w:val="clear" w:color="auto" w:fill="FFFFFF"/>
        <w:spacing w:before="0" w:beforeAutospacing="0" w:after="0" w:afterAutospacing="0"/>
        <w:ind w:firstLine="482"/>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（二）项目基本情况。为全面推进司法行政机关各项办案业务工作，提高法律服务水平和质量，根据湖南省财政厅 湖南省司法厅关于印发《湖南省法律援助经费使用管理办法》（湘财政法﹝2017﹞13号）及《南县人民政府常务会议纪要》（﹝2015﹞1号）文件精神，将司法行政机关办案经费纳入财政预算，设立专项，专项资金36万元，由中央省级财政转移支付。该专项经费主要是指司法行政机关（含司法所）为履行特定职责，办理案件和开展业务工作支出的经费，具体包括：基层司法业务费、普法宣传费、法律援助经费、人民调解经费等其他司法支出。项目实施起止时间为2018年1月1日起至2018年12月31日止。</w:t>
      </w:r>
    </w:p>
    <w:p>
      <w:pPr>
        <w:pStyle w:val="4"/>
        <w:shd w:val="clear" w:color="auto" w:fill="FFFFFF"/>
        <w:spacing w:before="0" w:beforeAutospacing="0" w:after="0" w:afterAutospacing="0"/>
        <w:ind w:firstLine="482"/>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三）项目绩效目标完成情况。2018年全县符合法律援助做到应援尽援，接待咨询人数782人次，全县各级人民调解组织共调处各类矛盾纠纷2980件，调处成功2145件，调解成功率71.98%，其中口头协议1545件，书面协议381件，重大矛盾纠纷219件。为我县的和谐、稳定和法制化建设作出了重大贡献。</w:t>
      </w:r>
    </w:p>
    <w:p>
      <w:pPr>
        <w:ind w:firstLine="482" w:firstLineChars="150"/>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 xml:space="preserve">  （一）项目资金到位情况。项目资金预算金额为36万元，共到位资金55万元，由中央、省级财政转移支付。实际支出55.23万元，比期初预算增加19.23万元，增加率53.4%。</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 xml:space="preserve">  （二）项目资金使用情况。2018年办案经费专项上级转移支付36万元，至12月31日止上级转移支付共拨付办案费专项55万元。至2018年12月31日，办案费专项支出55.23万元，其具体支出列示如下表：</w:t>
      </w:r>
    </w:p>
    <w:p>
      <w:pP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单位：万元</w:t>
      </w:r>
    </w:p>
    <w:tbl>
      <w:tblPr>
        <w:tblStyle w:val="6"/>
        <w:tblW w:w="9498"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711"/>
        <w:gridCol w:w="1568"/>
        <w:gridCol w:w="2424"/>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trPr>
        <w:tc>
          <w:tcPr>
            <w:tcW w:w="856"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序号</w:t>
            </w:r>
          </w:p>
        </w:tc>
        <w:tc>
          <w:tcPr>
            <w:tcW w:w="1711"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项目名称</w:t>
            </w:r>
          </w:p>
        </w:tc>
        <w:tc>
          <w:tcPr>
            <w:tcW w:w="1568"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使用金额</w:t>
            </w:r>
          </w:p>
        </w:tc>
        <w:tc>
          <w:tcPr>
            <w:tcW w:w="2424"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占使用资金比例</w:t>
            </w:r>
          </w:p>
        </w:tc>
        <w:tc>
          <w:tcPr>
            <w:tcW w:w="2939" w:type="dxa"/>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trPr>
        <w:tc>
          <w:tcPr>
            <w:tcW w:w="856"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1</w:t>
            </w:r>
          </w:p>
        </w:tc>
        <w:tc>
          <w:tcPr>
            <w:tcW w:w="1711"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工资福利</w:t>
            </w:r>
          </w:p>
        </w:tc>
        <w:tc>
          <w:tcPr>
            <w:tcW w:w="1568"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16.1</w:t>
            </w:r>
          </w:p>
        </w:tc>
        <w:tc>
          <w:tcPr>
            <w:tcW w:w="2424"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29.15%</w:t>
            </w:r>
          </w:p>
        </w:tc>
        <w:tc>
          <w:tcPr>
            <w:tcW w:w="2939" w:type="dxa"/>
          </w:tcPr>
          <w:p>
            <w:pPr>
              <w:jc w:val="center"/>
              <w:rPr>
                <w:rFonts w:hint="eastAsia" w:ascii="仿宋" w:hAnsi="仿宋" w:eastAsia="仿宋" w:cstheme="minorBidi"/>
                <w:kern w:val="2"/>
                <w:sz w:val="30"/>
                <w:szCs w:val="3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856"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2</w:t>
            </w:r>
          </w:p>
        </w:tc>
        <w:tc>
          <w:tcPr>
            <w:tcW w:w="1711"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办公费</w:t>
            </w:r>
          </w:p>
        </w:tc>
        <w:tc>
          <w:tcPr>
            <w:tcW w:w="1568"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0.48</w:t>
            </w:r>
          </w:p>
        </w:tc>
        <w:tc>
          <w:tcPr>
            <w:tcW w:w="2424"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0.87%</w:t>
            </w:r>
          </w:p>
        </w:tc>
        <w:tc>
          <w:tcPr>
            <w:tcW w:w="2939" w:type="dxa"/>
          </w:tcPr>
          <w:p>
            <w:pPr>
              <w:jc w:val="center"/>
              <w:rPr>
                <w:rFonts w:hint="eastAsia" w:ascii="仿宋" w:hAnsi="仿宋" w:eastAsia="仿宋" w:cstheme="minorBidi"/>
                <w:kern w:val="2"/>
                <w:sz w:val="30"/>
                <w:szCs w:val="3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856"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3</w:t>
            </w:r>
          </w:p>
        </w:tc>
        <w:tc>
          <w:tcPr>
            <w:tcW w:w="1711"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印刷费</w:t>
            </w:r>
          </w:p>
        </w:tc>
        <w:tc>
          <w:tcPr>
            <w:tcW w:w="1568"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11.03</w:t>
            </w:r>
          </w:p>
        </w:tc>
        <w:tc>
          <w:tcPr>
            <w:tcW w:w="2424"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19.97%</w:t>
            </w:r>
          </w:p>
        </w:tc>
        <w:tc>
          <w:tcPr>
            <w:tcW w:w="2939" w:type="dxa"/>
          </w:tcPr>
          <w:p>
            <w:pPr>
              <w:jc w:val="center"/>
              <w:rPr>
                <w:rFonts w:hint="eastAsia" w:ascii="仿宋" w:hAnsi="仿宋" w:eastAsia="仿宋" w:cstheme="minorBidi"/>
                <w:kern w:val="2"/>
                <w:sz w:val="30"/>
                <w:szCs w:val="3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856"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4</w:t>
            </w:r>
          </w:p>
        </w:tc>
        <w:tc>
          <w:tcPr>
            <w:tcW w:w="1711"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劳务费</w:t>
            </w:r>
          </w:p>
        </w:tc>
        <w:tc>
          <w:tcPr>
            <w:tcW w:w="1568"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24.12</w:t>
            </w:r>
          </w:p>
        </w:tc>
        <w:tc>
          <w:tcPr>
            <w:tcW w:w="2424"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43.67%</w:t>
            </w:r>
          </w:p>
        </w:tc>
        <w:tc>
          <w:tcPr>
            <w:tcW w:w="2939" w:type="dxa"/>
          </w:tcPr>
          <w:p>
            <w:pPr>
              <w:jc w:val="center"/>
              <w:rPr>
                <w:rFonts w:hint="eastAsia" w:ascii="仿宋" w:hAnsi="仿宋" w:eastAsia="仿宋" w:cstheme="minorBidi"/>
                <w:kern w:val="2"/>
                <w:sz w:val="30"/>
                <w:szCs w:val="3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trPr>
        <w:tc>
          <w:tcPr>
            <w:tcW w:w="856"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5</w:t>
            </w:r>
          </w:p>
        </w:tc>
        <w:tc>
          <w:tcPr>
            <w:tcW w:w="1711"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委托业务费</w:t>
            </w:r>
          </w:p>
        </w:tc>
        <w:tc>
          <w:tcPr>
            <w:tcW w:w="1568"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3.5</w:t>
            </w:r>
          </w:p>
        </w:tc>
        <w:tc>
          <w:tcPr>
            <w:tcW w:w="2424"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6.34%</w:t>
            </w:r>
          </w:p>
        </w:tc>
        <w:tc>
          <w:tcPr>
            <w:tcW w:w="2939" w:type="dxa"/>
          </w:tcPr>
          <w:p>
            <w:pPr>
              <w:jc w:val="center"/>
              <w:rPr>
                <w:rFonts w:hint="eastAsia" w:ascii="仿宋" w:hAnsi="仿宋" w:eastAsia="仿宋" w:cstheme="minorBidi"/>
                <w:kern w:val="2"/>
                <w:sz w:val="30"/>
                <w:szCs w:val="3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2567" w:type="dxa"/>
            <w:gridSpan w:val="2"/>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合计：</w:t>
            </w:r>
          </w:p>
        </w:tc>
        <w:tc>
          <w:tcPr>
            <w:tcW w:w="1568"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55.23</w:t>
            </w:r>
          </w:p>
        </w:tc>
        <w:tc>
          <w:tcPr>
            <w:tcW w:w="2424" w:type="dxa"/>
            <w:vAlign w:val="center"/>
          </w:tcPr>
          <w:p>
            <w:pPr>
              <w:jc w:val="cente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100%</w:t>
            </w:r>
          </w:p>
        </w:tc>
        <w:tc>
          <w:tcPr>
            <w:tcW w:w="2939" w:type="dxa"/>
          </w:tcPr>
          <w:p>
            <w:pPr>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其中资金缺口0.23万元由行政经费弥补。</w:t>
            </w:r>
          </w:p>
        </w:tc>
      </w:tr>
    </w:tbl>
    <w:p>
      <w:pPr>
        <w:ind w:firstLine="450" w:firstLineChars="15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（三）项目资金管理情况。该项目无专门制定的资金管理制度，严格按照财政支出管理制度使用经费，定期对专项资金使用情况进行全面自查，确保资金专款专用。</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pStyle w:val="4"/>
        <w:shd w:val="clear" w:color="auto" w:fill="FFFFFF"/>
        <w:spacing w:before="0" w:beforeAutospacing="0" w:after="0" w:afterAutospacing="0"/>
        <w:ind w:firstLine="482"/>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(一)制度建设情况。南县司法局针对办案经费专项资金未制定专门的项目实施措施及财务管理制度，所有支出均按照《南县司法局行政机关财务管理办法》执行</w:t>
      </w:r>
    </w:p>
    <w:p>
      <w:pPr>
        <w:pStyle w:val="4"/>
        <w:shd w:val="clear" w:color="auto" w:fill="FFFFFF"/>
        <w:spacing w:before="0" w:beforeAutospacing="0" w:after="0" w:afterAutospacing="0"/>
        <w:ind w:firstLine="482"/>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(二)项目实施情况。为加强对办案经费专项资金的管理与监督，更大限度地提高项目资金使用效益，南县司法局对该项目具体实施措施如下：</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1、对每个股室都制定年初目标管理任务考核明细，下达了人员分工及工作职责文件，建立健全了机关各类管理制度，实行制度管人、管事、管权。</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2、加强案件办理的质量和数量管理，按报案数、结案数、案件满意度等内容进行细化，确保环环相扣，制度明确，操作性强，责任落实到人。</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3、规范案卷格式及提高案卷质量。制定案卷审核标准，并下发至各业务部门，要求各业务部门严格按照标准整理案卷。按时按质报送案卷。</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4、扎实开展社会调查评估工作，严格按照《湖南省实行社区矫正社会调查评估暂行办法》，在接到委托机关的社会调查评估函时，及时组织工作人员，深入调查对象的村组并找其本人调查了解情况，在全面掌握有关情况后，再向局长汇报，召开局长办公会，通过讨论研究形成最终的调查评估意见。</w:t>
      </w:r>
    </w:p>
    <w:p>
      <w:pPr>
        <w:ind w:firstLine="480"/>
        <w:rPr>
          <w:rFonts w:asciiTheme="majorEastAsia" w:hAnsiTheme="majorEastAsia" w:eastAsiaTheme="majorEastAsia"/>
          <w:b/>
          <w:sz w:val="32"/>
          <w:szCs w:val="32"/>
        </w:rPr>
      </w:pPr>
      <w:r>
        <w:rPr>
          <w:rFonts w:hint="eastAsia" w:ascii="仿宋" w:hAnsi="仿宋" w:eastAsia="仿宋" w:cstheme="minorBidi"/>
          <w:kern w:val="2"/>
          <w:sz w:val="30"/>
          <w:szCs w:val="30"/>
          <w:lang w:val="en-US" w:eastAsia="zh-CN" w:bidi="ar-SA"/>
        </w:rPr>
        <w:t>5、完善档案、台账。规范工作流程，加强办案人员业务培训。2018年组织开展了全县人民调解员培训班，进一步增强了</w:t>
      </w:r>
      <w:r>
        <w:rPr>
          <w:rFonts w:hint="eastAsia" w:ascii="仿宋" w:hAnsi="仿宋" w:eastAsia="仿宋"/>
          <w:sz w:val="28"/>
          <w:szCs w:val="28"/>
        </w:rPr>
        <w:t>业务水平。</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(一)绩效评价目的</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通过绩效评价全面分析该项目资金使用、管理和项目实施情况，进一步规范南县司法局办案业务专项工作经费使用、管理制度，强化财政资金支出绩效理念，切实提高财政资金使用效益。</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(二)绩效评价工作过程。</w:t>
      </w:r>
    </w:p>
    <w:p>
      <w:pPr>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根据南县财政局《关于对2018年度县本级专项资金开展重点绩效评价工作的通知》(南财绩函[2019]14号)文件要求，我所按下列步骤开展了绩效评价工作。</w:t>
      </w:r>
    </w:p>
    <w:p>
      <w:pPr>
        <w:ind w:left="210" w:leftChars="100" w:firstLine="560" w:firstLineChars="200"/>
        <w:rPr>
          <w:rFonts w:ascii="仿宋" w:hAnsi="仿宋" w:eastAsia="仿宋"/>
          <w:sz w:val="28"/>
          <w:szCs w:val="28"/>
        </w:rPr>
      </w:pPr>
      <w:r>
        <w:rPr>
          <w:rFonts w:hint="eastAsia" w:ascii="仿宋" w:hAnsi="仿宋" w:eastAsia="仿宋"/>
          <w:sz w:val="28"/>
          <w:szCs w:val="28"/>
        </w:rPr>
        <w:t>1、前期准备。为做好本次项目绩效评价工作，加强对绩效评价工作的组织领导，确保各项工作的顺利开展，我所抽调了专人成立了由所领导任组长的绩效评价工作小组，统筹指导协调绩效评价工作。同时按省财政厅绩效评价工作的具体要求，认真核查了资金使用、项目建设进展等有关情况，并实地抽查了部分项目实施情况，采集了相关数据，同时根据各项目实施单位上报的财务报表和项目实施情况书面材料进行评价分析，形成评价结论。明确工作职责，制定了现场评价方案，设计了相关表格，联系了相关部门和单位，确定了实施时间。</w:t>
      </w:r>
    </w:p>
    <w:p>
      <w:pPr>
        <w:ind w:firstLine="700" w:firstLineChars="250"/>
        <w:rPr>
          <w:rFonts w:ascii="仿宋" w:hAnsi="仿宋" w:eastAsia="仿宋"/>
          <w:sz w:val="28"/>
          <w:szCs w:val="28"/>
        </w:rPr>
      </w:pPr>
      <w:r>
        <w:rPr>
          <w:rFonts w:hint="eastAsia" w:ascii="仿宋" w:hAnsi="仿宋" w:eastAsia="仿宋"/>
          <w:sz w:val="28"/>
          <w:szCs w:val="28"/>
        </w:rPr>
        <w:t>2、组织实施：核查2018年度政府购买服务项目收入、支出及结余情况；收集整理相关政策法规依据、制度、管理办法或工作细则，相关批文、报告、工作计划、工作总结等；根据具体项目编制绩效评价指标体系；采用问卷调查的方式，对社会公众或服务对象进行满意度调查。</w:t>
      </w:r>
    </w:p>
    <w:p>
      <w:pPr>
        <w:ind w:left="210" w:leftChars="100" w:firstLine="560" w:firstLineChars="200"/>
        <w:rPr>
          <w:rFonts w:asciiTheme="majorEastAsia" w:hAnsiTheme="majorEastAsia" w:eastAsiaTheme="majorEastAsia"/>
          <w:b/>
          <w:sz w:val="32"/>
          <w:szCs w:val="32"/>
        </w:rPr>
      </w:pPr>
      <w:r>
        <w:rPr>
          <w:rFonts w:hint="eastAsia" w:ascii="仿宋" w:hAnsi="仿宋" w:eastAsia="仿宋"/>
          <w:sz w:val="28"/>
          <w:szCs w:val="28"/>
        </w:rPr>
        <w:t>3、分析评价：对核查的会计数据和收集的资料进行整理归纳汇总分析，依据部门项目支出绩效评价指标体系进行评分，形成南县司法局政府购买服务项目支出绩效评价报告。</w:t>
      </w:r>
    </w:p>
    <w:p>
      <w:pPr>
        <w:pStyle w:val="8"/>
        <w:numPr>
          <w:ilvl w:val="0"/>
          <w:numId w:val="1"/>
        </w:numPr>
        <w:rPr>
          <w:rFonts w:asciiTheme="majorEastAsia" w:hAnsiTheme="majorEastAsia" w:eastAsiaTheme="majorEastAsia"/>
          <w:b/>
          <w:sz w:val="32"/>
          <w:szCs w:val="32"/>
        </w:rPr>
      </w:pPr>
      <w:r>
        <w:rPr>
          <w:rFonts w:hint="eastAsia" w:asciiTheme="majorEastAsia" w:hAnsiTheme="majorEastAsia" w:eastAsiaTheme="majorEastAsia"/>
          <w:b/>
          <w:sz w:val="32"/>
          <w:szCs w:val="32"/>
        </w:rPr>
        <w:t>绩效评价结果和主要绩效</w:t>
      </w:r>
    </w:p>
    <w:p>
      <w:pPr>
        <w:pStyle w:val="8"/>
        <w:ind w:firstLine="56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根据南县司法局办案经费专项资金绩效评价指标体系和绩效检查情况，该项目整体绩效分值100份，实得77分，被评为“良好”。 等级(详见：南县司法局办案专项工作经费绩效评价指标评分表)。主要绩效表现在以下几个方面：</w:t>
      </w:r>
    </w:p>
    <w:p>
      <w:pPr>
        <w:pStyle w:val="8"/>
        <w:ind w:firstLine="600" w:firstLineChars="20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一、项目经济型分析：按照当前律师收费最低3000元/件，南县司法局2018年度共办理法律援助案件209件，应付律师费用共计62.7万元，实际发放案件补贴13.41万元，法律援助通过发放案件补贴方式节省经费49.29万元。调解案件2145件，共发放案件补贴14.71万元，按照法院调解最低成本200元/件，人民调解节省经费28.19万元。</w:t>
      </w:r>
    </w:p>
    <w:p>
      <w:pPr>
        <w:pStyle w:val="4"/>
        <w:shd w:val="clear" w:color="auto" w:fill="FFFFFF"/>
        <w:spacing w:before="0" w:beforeAutospacing="0" w:after="0" w:afterAutospacing="0"/>
        <w:ind w:firstLine="600" w:firstLineChars="20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二、项目效率性分析：2018年全县符合法律援助做到应援尽援，接待咨询人数782人次，全县各级人民调解组织共调处各类矛盾纠纷2980件，调处成功2145件，调解成功率71.98%，其中口头协议1545件，书面协议381件，重大矛盾纠纷219件。</w:t>
      </w:r>
    </w:p>
    <w:p>
      <w:pPr>
        <w:pStyle w:val="4"/>
        <w:shd w:val="clear" w:color="auto" w:fill="FFFFFF"/>
        <w:spacing w:before="0" w:beforeAutospacing="0" w:after="0" w:afterAutospacing="0"/>
        <w:ind w:firstLine="600" w:firstLineChars="20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三、项目效益性分析：强化该局业务创新，全面推进各项办案业务工作，提高法律服务水平和质量，为我县的和谐、稳定和法制化建设做出贡献。</w:t>
      </w:r>
    </w:p>
    <w:p>
      <w:pPr>
        <w:pStyle w:val="8"/>
        <w:numPr>
          <w:ilvl w:val="0"/>
          <w:numId w:val="1"/>
        </w:numPr>
        <w:rPr>
          <w:rFonts w:asciiTheme="majorEastAsia" w:hAnsiTheme="majorEastAsia" w:eastAsiaTheme="majorEastAsia"/>
          <w:b/>
          <w:sz w:val="32"/>
          <w:szCs w:val="32"/>
        </w:rPr>
      </w:pPr>
      <w:r>
        <w:rPr>
          <w:rFonts w:hint="eastAsia" w:asciiTheme="majorEastAsia" w:hAnsiTheme="majorEastAsia" w:eastAsiaTheme="majorEastAsia"/>
          <w:b/>
          <w:sz w:val="32"/>
          <w:szCs w:val="32"/>
        </w:rPr>
        <w:t>存在的主要问题</w:t>
      </w:r>
    </w:p>
    <w:p>
      <w:pPr>
        <w:pStyle w:val="8"/>
        <w:ind w:firstLine="560" w:firstLineChars="200"/>
        <w:jc w:val="left"/>
        <w:rPr>
          <w:rFonts w:ascii="仿宋" w:hAnsi="仿宋" w:eastAsia="仿宋"/>
          <w:sz w:val="28"/>
          <w:szCs w:val="28"/>
        </w:rPr>
      </w:pPr>
      <w:r>
        <w:rPr>
          <w:rFonts w:hint="eastAsia" w:ascii="仿宋" w:hAnsi="仿宋" w:eastAsia="仿宋"/>
          <w:sz w:val="28"/>
          <w:szCs w:val="28"/>
        </w:rPr>
        <w:t>一、</w:t>
      </w:r>
      <w:bookmarkStart w:id="0" w:name="_GoBack"/>
      <w:r>
        <w:rPr>
          <w:rFonts w:hint="eastAsia" w:ascii="仿宋" w:hAnsi="仿宋" w:eastAsia="仿宋"/>
          <w:sz w:val="28"/>
          <w:szCs w:val="28"/>
        </w:rPr>
        <w:t>预算管理准确性不足，预算金额与实际支出金额存在较大差额。项目资金预算36万元，实际支出55.23万元，比政府预算资金增加19.23万元，增加率53.4%。</w:t>
      </w:r>
    </w:p>
    <w:bookmarkEnd w:id="0"/>
    <w:p>
      <w:pPr>
        <w:pStyle w:val="8"/>
        <w:ind w:firstLine="560" w:firstLineChars="200"/>
        <w:jc w:val="left"/>
        <w:rPr>
          <w:rFonts w:ascii="仿宋" w:hAnsi="仿宋" w:eastAsia="仿宋"/>
          <w:sz w:val="28"/>
          <w:szCs w:val="28"/>
        </w:rPr>
      </w:pPr>
      <w:r>
        <w:rPr>
          <w:rFonts w:hint="eastAsia" w:ascii="仿宋" w:hAnsi="仿宋" w:eastAsia="仿宋"/>
          <w:sz w:val="28"/>
          <w:szCs w:val="28"/>
        </w:rPr>
        <w:t>二、项目资金到位不及时，2018年的专项支出，其中一部分于2019年1月才拨付到账。</w:t>
      </w:r>
    </w:p>
    <w:p>
      <w:pPr>
        <w:pStyle w:val="8"/>
        <w:ind w:firstLine="560" w:firstLineChars="200"/>
        <w:rPr>
          <w:rFonts w:hint="eastAsia" w:ascii="仿宋" w:hAnsi="仿宋" w:eastAsia="仿宋"/>
          <w:sz w:val="28"/>
          <w:szCs w:val="28"/>
          <w:lang w:eastAsia="zh-CN"/>
        </w:rPr>
      </w:pPr>
      <w:r>
        <w:rPr>
          <w:rFonts w:hint="eastAsia" w:ascii="仿宋" w:hAnsi="仿宋" w:eastAsia="仿宋"/>
          <w:sz w:val="28"/>
          <w:szCs w:val="28"/>
        </w:rPr>
        <w:t>三、项目管理制度不健全。</w:t>
      </w:r>
      <w:r>
        <w:rPr>
          <w:rFonts w:hint="eastAsia" w:ascii="仿宋" w:hAnsi="仿宋" w:eastAsia="仿宋"/>
          <w:sz w:val="28"/>
          <w:szCs w:val="28"/>
          <w:lang w:eastAsia="zh-CN"/>
        </w:rPr>
        <w:t>没</w:t>
      </w:r>
      <w:r>
        <w:rPr>
          <w:rFonts w:hint="eastAsia" w:ascii="仿宋" w:hAnsi="仿宋" w:eastAsia="仿宋"/>
          <w:sz w:val="28"/>
          <w:szCs w:val="28"/>
        </w:rPr>
        <w:t>有</w:t>
      </w:r>
      <w:r>
        <w:rPr>
          <w:rFonts w:hint="eastAsia" w:ascii="仿宋" w:hAnsi="仿宋" w:eastAsia="仿宋"/>
          <w:sz w:val="28"/>
          <w:szCs w:val="28"/>
          <w:lang w:eastAsia="zh-CN"/>
        </w:rPr>
        <w:t>成立项目管理机构并制定相应</w:t>
      </w:r>
      <w:r>
        <w:rPr>
          <w:rFonts w:hint="eastAsia" w:ascii="仿宋" w:hAnsi="仿宋" w:eastAsia="仿宋"/>
          <w:sz w:val="28"/>
          <w:szCs w:val="28"/>
        </w:rPr>
        <w:t>的项目管理制度</w:t>
      </w:r>
      <w:r>
        <w:rPr>
          <w:rFonts w:hint="eastAsia" w:ascii="仿宋" w:hAnsi="仿宋" w:eastAsia="仿宋"/>
          <w:sz w:val="28"/>
          <w:szCs w:val="28"/>
          <w:lang w:eastAsia="zh-CN"/>
        </w:rPr>
        <w:t>，没有对</w:t>
      </w:r>
      <w:r>
        <w:rPr>
          <w:rFonts w:hint="eastAsia" w:ascii="仿宋" w:hAnsi="仿宋" w:eastAsia="仿宋"/>
          <w:sz w:val="28"/>
          <w:szCs w:val="28"/>
        </w:rPr>
        <w:t>项目实施、资金使用、日常检查监督等</w:t>
      </w:r>
      <w:r>
        <w:rPr>
          <w:rFonts w:hint="eastAsia" w:ascii="仿宋" w:hAnsi="仿宋" w:eastAsia="仿宋"/>
          <w:sz w:val="28"/>
          <w:szCs w:val="28"/>
          <w:lang w:eastAsia="zh-CN"/>
        </w:rPr>
        <w:t>作出明确规定。</w:t>
      </w:r>
    </w:p>
    <w:p>
      <w:pPr>
        <w:pStyle w:val="8"/>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四、</w:t>
      </w:r>
      <w:r>
        <w:rPr>
          <w:rFonts w:hint="eastAsia" w:ascii="仿宋" w:hAnsi="仿宋" w:eastAsia="仿宋"/>
          <w:sz w:val="28"/>
          <w:szCs w:val="28"/>
        </w:rPr>
        <w:t>监督检查工作未到位。监督检查是保证预算执行的重要手段，通过实施内部监督检查，可以及时查找并督促整改财政管理中存在的问题，发挥监督预算、纠偏、评价及监管职能 ，推动财政管理更加规范、科学、合理、高效。本专项工作经费没有受到财政或主管部门的监督检查。</w:t>
      </w:r>
    </w:p>
    <w:p>
      <w:pPr>
        <w:pStyle w:val="8"/>
        <w:ind w:firstLine="560" w:firstLineChars="200"/>
        <w:jc w:val="left"/>
        <w:rPr>
          <w:rFonts w:asciiTheme="majorEastAsia" w:hAnsiTheme="majorEastAsia" w:eastAsiaTheme="majorEastAsia"/>
          <w:b/>
          <w:sz w:val="32"/>
          <w:szCs w:val="32"/>
        </w:rPr>
      </w:pPr>
      <w:r>
        <w:rPr>
          <w:rFonts w:hint="eastAsia" w:ascii="仿宋" w:hAnsi="仿宋" w:eastAsia="仿宋"/>
          <w:sz w:val="28"/>
          <w:szCs w:val="28"/>
          <w:lang w:eastAsia="zh-CN"/>
        </w:rPr>
        <w:t>五</w:t>
      </w:r>
      <w:r>
        <w:rPr>
          <w:rFonts w:hint="eastAsia" w:ascii="仿宋" w:hAnsi="仿宋" w:eastAsia="仿宋"/>
          <w:sz w:val="28"/>
          <w:szCs w:val="28"/>
        </w:rPr>
        <w:t>、根据《湖南省财政厅 湖南省司法厅关于印发（湖南省法律援助经费使用管理办法）的通知》湘财政法［2017］13号文件精神，南县司法局还存在着工作力量和经费不足的问题，人民调解“以奖代补”标准也低于相关文件规定标准。</w:t>
      </w:r>
    </w:p>
    <w:p>
      <w:pPr>
        <w:pStyle w:val="8"/>
        <w:ind w:firstLine="321" w:firstLineChars="100"/>
        <w:rPr>
          <w:rFonts w:asciiTheme="majorEastAsia" w:hAnsiTheme="majorEastAsia" w:eastAsiaTheme="majorEastAsia"/>
          <w:b/>
          <w:sz w:val="32"/>
          <w:szCs w:val="32"/>
        </w:rPr>
      </w:pPr>
      <w:r>
        <w:rPr>
          <w:rFonts w:hint="eastAsia" w:asciiTheme="majorEastAsia" w:hAnsiTheme="majorEastAsia" w:eastAsiaTheme="majorEastAsia"/>
          <w:b/>
          <w:sz w:val="32"/>
          <w:szCs w:val="32"/>
        </w:rPr>
        <w:t>七、建议</w:t>
      </w:r>
    </w:p>
    <w:p>
      <w:pPr>
        <w:pStyle w:val="8"/>
        <w:ind w:firstLine="480"/>
        <w:rPr>
          <w:rFonts w:ascii="仿宋" w:hAnsi="仿宋" w:eastAsia="仿宋"/>
          <w:sz w:val="28"/>
          <w:szCs w:val="28"/>
        </w:rPr>
      </w:pPr>
      <w:r>
        <w:rPr>
          <w:rFonts w:hint="eastAsia" w:ascii="仿宋" w:hAnsi="仿宋" w:eastAsia="仿宋"/>
          <w:sz w:val="28"/>
          <w:szCs w:val="28"/>
        </w:rPr>
        <w:t>一、严格控制专项项目资金的使用范围和额度，进一步完善预算定额指标体系，保证预算编制的正确完整和资金使用效益的提高。</w:t>
      </w:r>
    </w:p>
    <w:p>
      <w:pPr>
        <w:pStyle w:val="8"/>
        <w:ind w:firstLine="480"/>
        <w:rPr>
          <w:rFonts w:hint="eastAsia" w:ascii="仿宋" w:hAnsi="仿宋" w:eastAsia="仿宋"/>
          <w:sz w:val="28"/>
          <w:szCs w:val="28"/>
          <w:lang w:eastAsia="zh-CN"/>
        </w:rPr>
      </w:pPr>
      <w:r>
        <w:rPr>
          <w:rFonts w:hint="eastAsia" w:ascii="仿宋" w:hAnsi="仿宋" w:eastAsia="仿宋"/>
          <w:sz w:val="28"/>
          <w:szCs w:val="28"/>
        </w:rPr>
        <w:t>二、项目管理制度有待完善。</w:t>
      </w:r>
      <w:r>
        <w:rPr>
          <w:rFonts w:hint="eastAsia" w:ascii="仿宋" w:hAnsi="仿宋" w:eastAsia="仿宋"/>
          <w:sz w:val="28"/>
          <w:szCs w:val="28"/>
          <w:lang w:eastAsia="zh-CN"/>
        </w:rPr>
        <w:t>项目的实施，应当成立专门的项目管理机构，明确相关责任人员；制定</w:t>
      </w:r>
      <w:r>
        <w:rPr>
          <w:rFonts w:hint="eastAsia" w:ascii="仿宋" w:hAnsi="仿宋" w:eastAsia="仿宋"/>
          <w:sz w:val="28"/>
          <w:szCs w:val="28"/>
        </w:rPr>
        <w:t>内容</w:t>
      </w:r>
      <w:r>
        <w:rPr>
          <w:rFonts w:hint="eastAsia" w:ascii="仿宋" w:hAnsi="仿宋" w:eastAsia="仿宋"/>
          <w:sz w:val="28"/>
          <w:szCs w:val="28"/>
          <w:lang w:eastAsia="zh-CN"/>
        </w:rPr>
        <w:t>比较</w:t>
      </w:r>
      <w:r>
        <w:rPr>
          <w:rFonts w:hint="eastAsia" w:ascii="仿宋" w:hAnsi="仿宋" w:eastAsia="仿宋"/>
          <w:sz w:val="28"/>
          <w:szCs w:val="28"/>
        </w:rPr>
        <w:t>完整</w:t>
      </w:r>
      <w:r>
        <w:rPr>
          <w:rFonts w:hint="eastAsia" w:ascii="仿宋" w:hAnsi="仿宋" w:eastAsia="仿宋"/>
          <w:sz w:val="28"/>
          <w:szCs w:val="28"/>
          <w:lang w:eastAsia="zh-CN"/>
        </w:rPr>
        <w:t>的</w:t>
      </w:r>
      <w:r>
        <w:rPr>
          <w:rFonts w:hint="eastAsia" w:ascii="仿宋" w:hAnsi="仿宋" w:eastAsia="仿宋"/>
          <w:sz w:val="28"/>
          <w:szCs w:val="28"/>
        </w:rPr>
        <w:t>项目管理制度</w:t>
      </w:r>
      <w:r>
        <w:rPr>
          <w:rFonts w:hint="eastAsia" w:ascii="仿宋" w:hAnsi="仿宋" w:eastAsia="仿宋"/>
          <w:sz w:val="28"/>
          <w:szCs w:val="28"/>
          <w:lang w:eastAsia="zh-CN"/>
        </w:rPr>
        <w:t>，对</w:t>
      </w:r>
      <w:r>
        <w:rPr>
          <w:rFonts w:hint="eastAsia" w:ascii="仿宋" w:hAnsi="仿宋" w:eastAsia="仿宋"/>
          <w:sz w:val="28"/>
          <w:szCs w:val="28"/>
        </w:rPr>
        <w:t>项目</w:t>
      </w:r>
      <w:r>
        <w:rPr>
          <w:rFonts w:hint="eastAsia" w:ascii="仿宋" w:hAnsi="仿宋" w:eastAsia="仿宋"/>
          <w:sz w:val="28"/>
          <w:szCs w:val="28"/>
          <w:lang w:eastAsia="zh-CN"/>
        </w:rPr>
        <w:t>的</w:t>
      </w:r>
      <w:r>
        <w:rPr>
          <w:rFonts w:hint="eastAsia" w:ascii="仿宋" w:hAnsi="仿宋" w:eastAsia="仿宋"/>
          <w:sz w:val="28"/>
          <w:szCs w:val="28"/>
        </w:rPr>
        <w:t>实施和</w:t>
      </w:r>
      <w:r>
        <w:rPr>
          <w:rFonts w:hint="eastAsia" w:ascii="仿宋" w:hAnsi="仿宋" w:eastAsia="仿宋"/>
          <w:sz w:val="28"/>
          <w:szCs w:val="28"/>
          <w:lang w:eastAsia="zh-CN"/>
        </w:rPr>
        <w:t>专项</w:t>
      </w:r>
      <w:r>
        <w:rPr>
          <w:rFonts w:hint="eastAsia" w:ascii="仿宋" w:hAnsi="仿宋" w:eastAsia="仿宋"/>
          <w:sz w:val="28"/>
          <w:szCs w:val="28"/>
        </w:rPr>
        <w:t>资金</w:t>
      </w:r>
      <w:r>
        <w:rPr>
          <w:rFonts w:hint="eastAsia" w:ascii="仿宋" w:hAnsi="仿宋" w:eastAsia="仿宋"/>
          <w:sz w:val="28"/>
          <w:szCs w:val="28"/>
          <w:lang w:eastAsia="zh-CN"/>
        </w:rPr>
        <w:t>的</w:t>
      </w:r>
      <w:r>
        <w:rPr>
          <w:rFonts w:hint="eastAsia" w:ascii="仿宋" w:hAnsi="仿宋" w:eastAsia="仿宋"/>
          <w:sz w:val="28"/>
          <w:szCs w:val="28"/>
        </w:rPr>
        <w:t>管理</w:t>
      </w:r>
      <w:r>
        <w:rPr>
          <w:rFonts w:hint="eastAsia" w:ascii="仿宋" w:hAnsi="仿宋" w:eastAsia="仿宋"/>
          <w:sz w:val="28"/>
          <w:szCs w:val="28"/>
          <w:lang w:eastAsia="zh-CN"/>
        </w:rPr>
        <w:t>均有章可依、有据可查。</w:t>
      </w:r>
    </w:p>
    <w:p>
      <w:pPr>
        <w:ind w:firstLine="560" w:firstLineChars="200"/>
        <w:rPr>
          <w:rFonts w:hint="eastAsia" w:ascii="仿宋" w:hAnsi="仿宋" w:eastAsia="仿宋"/>
          <w:sz w:val="28"/>
          <w:szCs w:val="28"/>
        </w:rPr>
      </w:pPr>
      <w:r>
        <w:rPr>
          <w:rFonts w:hint="eastAsia" w:ascii="仿宋" w:hAnsi="仿宋" w:eastAsia="仿宋"/>
          <w:sz w:val="28"/>
          <w:szCs w:val="28"/>
        </w:rPr>
        <w:t>三、确保项目资金到位及时，避免影响项目实施进度及质量，防止挤占其它项目资金，造成资金管理混乱。</w:t>
      </w:r>
    </w:p>
    <w:p>
      <w:pPr>
        <w:ind w:firstLine="560" w:firstLineChars="200"/>
        <w:rPr>
          <w:rFonts w:ascii="仿宋" w:hAnsi="仿宋" w:eastAsia="仿宋"/>
          <w:sz w:val="28"/>
          <w:szCs w:val="28"/>
        </w:rPr>
      </w:pPr>
      <w:r>
        <w:rPr>
          <w:rFonts w:hint="eastAsia" w:ascii="仿宋" w:hAnsi="仿宋" w:eastAsia="仿宋"/>
          <w:sz w:val="28"/>
          <w:szCs w:val="28"/>
          <w:lang w:eastAsia="zh-CN"/>
        </w:rPr>
        <w:t>四、</w:t>
      </w:r>
      <w:r>
        <w:rPr>
          <w:rFonts w:hint="eastAsia" w:ascii="仿宋" w:hAnsi="仿宋" w:eastAsia="仿宋"/>
          <w:sz w:val="28"/>
          <w:szCs w:val="28"/>
        </w:rPr>
        <w:t>为了保证财政预算的执行质量，杜绝暗箱操作或腐败行为，保证财政预算的编制效果，因而必须要采取切实措施加强对预算执行情况的监督检查，以规范各有关预算执行部门的行为。</w:t>
      </w:r>
    </w:p>
    <w:p>
      <w:pPr>
        <w:pStyle w:val="8"/>
        <w:ind w:firstLine="700" w:firstLineChars="250"/>
        <w:rPr>
          <w:rFonts w:hint="eastAsia" w:ascii="仿宋" w:hAnsi="仿宋" w:eastAsia="仿宋"/>
          <w:sz w:val="28"/>
          <w:szCs w:val="28"/>
          <w:lang w:eastAsia="zh-CN"/>
        </w:rPr>
      </w:pPr>
      <w:r>
        <w:rPr>
          <w:rFonts w:hint="eastAsia" w:ascii="仿宋" w:hAnsi="仿宋" w:eastAsia="仿宋"/>
          <w:sz w:val="28"/>
          <w:szCs w:val="28"/>
          <w:lang w:eastAsia="zh-CN"/>
        </w:rPr>
        <w:t>五</w:t>
      </w:r>
      <w:r>
        <w:rPr>
          <w:rFonts w:hint="eastAsia" w:ascii="仿宋" w:hAnsi="仿宋" w:eastAsia="仿宋"/>
          <w:sz w:val="28"/>
          <w:szCs w:val="28"/>
        </w:rPr>
        <w:t>、建立完善的办案工作经费保障机制，提高法律援助律师及人民调解员工作积极性，争取全方位的经费保障能确保各项工作的顺利开展。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815F3"/>
    <w:multiLevelType w:val="multilevel"/>
    <w:tmpl w:val="11E815F3"/>
    <w:lvl w:ilvl="0" w:tentative="0">
      <w:start w:val="5"/>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C479B"/>
    <w:rsid w:val="00011A43"/>
    <w:rsid w:val="00015AE5"/>
    <w:rsid w:val="00023AB7"/>
    <w:rsid w:val="000313EB"/>
    <w:rsid w:val="00077CE3"/>
    <w:rsid w:val="00081C7E"/>
    <w:rsid w:val="00084956"/>
    <w:rsid w:val="000A4E3A"/>
    <w:rsid w:val="000A66FA"/>
    <w:rsid w:val="000B27E5"/>
    <w:rsid w:val="000C41D4"/>
    <w:rsid w:val="000F3A6B"/>
    <w:rsid w:val="000F5A18"/>
    <w:rsid w:val="001135CD"/>
    <w:rsid w:val="00113D7D"/>
    <w:rsid w:val="00122845"/>
    <w:rsid w:val="0013233F"/>
    <w:rsid w:val="00184877"/>
    <w:rsid w:val="00192988"/>
    <w:rsid w:val="001C0C32"/>
    <w:rsid w:val="001C1E73"/>
    <w:rsid w:val="001E4D37"/>
    <w:rsid w:val="00207754"/>
    <w:rsid w:val="00216E3E"/>
    <w:rsid w:val="00230A8B"/>
    <w:rsid w:val="00231D50"/>
    <w:rsid w:val="002450BC"/>
    <w:rsid w:val="00262DAF"/>
    <w:rsid w:val="00285108"/>
    <w:rsid w:val="002856A8"/>
    <w:rsid w:val="0031573B"/>
    <w:rsid w:val="00334C5A"/>
    <w:rsid w:val="00344374"/>
    <w:rsid w:val="00382315"/>
    <w:rsid w:val="00383F7D"/>
    <w:rsid w:val="00384B54"/>
    <w:rsid w:val="00393C07"/>
    <w:rsid w:val="003D0D49"/>
    <w:rsid w:val="003F5513"/>
    <w:rsid w:val="004259F6"/>
    <w:rsid w:val="00436364"/>
    <w:rsid w:val="00443FAD"/>
    <w:rsid w:val="0045022D"/>
    <w:rsid w:val="0045750D"/>
    <w:rsid w:val="00490E89"/>
    <w:rsid w:val="004B3B85"/>
    <w:rsid w:val="004C4C94"/>
    <w:rsid w:val="004F1790"/>
    <w:rsid w:val="00532895"/>
    <w:rsid w:val="005944B2"/>
    <w:rsid w:val="005C6FEC"/>
    <w:rsid w:val="00602041"/>
    <w:rsid w:val="006037F4"/>
    <w:rsid w:val="006052D4"/>
    <w:rsid w:val="00607675"/>
    <w:rsid w:val="00612AB9"/>
    <w:rsid w:val="0063151F"/>
    <w:rsid w:val="00640834"/>
    <w:rsid w:val="006433BF"/>
    <w:rsid w:val="006445D1"/>
    <w:rsid w:val="00684558"/>
    <w:rsid w:val="006A29EE"/>
    <w:rsid w:val="006C06A3"/>
    <w:rsid w:val="006C0C7C"/>
    <w:rsid w:val="006C5ECB"/>
    <w:rsid w:val="006E2460"/>
    <w:rsid w:val="006F5DB2"/>
    <w:rsid w:val="00704A3A"/>
    <w:rsid w:val="00720719"/>
    <w:rsid w:val="007322E6"/>
    <w:rsid w:val="0076114B"/>
    <w:rsid w:val="007A61AE"/>
    <w:rsid w:val="007A7375"/>
    <w:rsid w:val="007C479B"/>
    <w:rsid w:val="007C79D8"/>
    <w:rsid w:val="007F0D6F"/>
    <w:rsid w:val="008476D9"/>
    <w:rsid w:val="00847F6B"/>
    <w:rsid w:val="00851A90"/>
    <w:rsid w:val="00875BBD"/>
    <w:rsid w:val="0092588A"/>
    <w:rsid w:val="00962838"/>
    <w:rsid w:val="009B2CFB"/>
    <w:rsid w:val="009C7B55"/>
    <w:rsid w:val="009F10C7"/>
    <w:rsid w:val="00A32F4D"/>
    <w:rsid w:val="00A6044E"/>
    <w:rsid w:val="00A74491"/>
    <w:rsid w:val="00A84716"/>
    <w:rsid w:val="00AD7154"/>
    <w:rsid w:val="00AE5754"/>
    <w:rsid w:val="00B0333C"/>
    <w:rsid w:val="00B217FE"/>
    <w:rsid w:val="00B331E4"/>
    <w:rsid w:val="00B34185"/>
    <w:rsid w:val="00B44922"/>
    <w:rsid w:val="00B52AEA"/>
    <w:rsid w:val="00B72698"/>
    <w:rsid w:val="00B841CB"/>
    <w:rsid w:val="00BA1826"/>
    <w:rsid w:val="00BA7E40"/>
    <w:rsid w:val="00BB0461"/>
    <w:rsid w:val="00C10A5E"/>
    <w:rsid w:val="00C31D03"/>
    <w:rsid w:val="00C5451A"/>
    <w:rsid w:val="00C815F3"/>
    <w:rsid w:val="00C81C0B"/>
    <w:rsid w:val="00C96208"/>
    <w:rsid w:val="00C977E6"/>
    <w:rsid w:val="00CC6F0D"/>
    <w:rsid w:val="00CD08FE"/>
    <w:rsid w:val="00D051B6"/>
    <w:rsid w:val="00D17D67"/>
    <w:rsid w:val="00D307C8"/>
    <w:rsid w:val="00D44C11"/>
    <w:rsid w:val="00D64D06"/>
    <w:rsid w:val="00D849F2"/>
    <w:rsid w:val="00D92C4C"/>
    <w:rsid w:val="00D93F71"/>
    <w:rsid w:val="00D96BC5"/>
    <w:rsid w:val="00DB7C23"/>
    <w:rsid w:val="00DE33A8"/>
    <w:rsid w:val="00E2302E"/>
    <w:rsid w:val="00E441E8"/>
    <w:rsid w:val="00E64EA4"/>
    <w:rsid w:val="00EA2245"/>
    <w:rsid w:val="00EA5633"/>
    <w:rsid w:val="00F11F5A"/>
    <w:rsid w:val="00F35B1D"/>
    <w:rsid w:val="00F370DE"/>
    <w:rsid w:val="00F80B02"/>
    <w:rsid w:val="00FB4B03"/>
    <w:rsid w:val="00FE7506"/>
    <w:rsid w:val="00FF5F95"/>
    <w:rsid w:val="1D4810B9"/>
    <w:rsid w:val="256E213C"/>
    <w:rsid w:val="28011CBB"/>
    <w:rsid w:val="7DD94EEB"/>
    <w:rsid w:val="7EC54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 w:type="paragraph" w:styleId="9">
    <w:name w:val="List Paragraph"/>
    <w:basedOn w:val="1"/>
    <w:qFormat/>
    <w:uiPriority w:val="34"/>
    <w:pPr>
      <w:ind w:firstLine="420" w:firstLineChars="200"/>
    </w:pPr>
  </w:style>
  <w:style w:type="character" w:customStyle="1" w:styleId="10">
    <w:name w:val="页眉 Char"/>
    <w:basedOn w:val="7"/>
    <w:link w:val="3"/>
    <w:semiHidden/>
    <w:qFormat/>
    <w:uiPriority w:val="99"/>
    <w:rPr>
      <w:sz w:val="18"/>
      <w:szCs w:val="18"/>
    </w:rPr>
  </w:style>
  <w:style w:type="character" w:customStyle="1" w:styleId="11">
    <w:name w:val="页脚 Char"/>
    <w:basedOn w:val="7"/>
    <w:link w:val="2"/>
    <w:semiHidden/>
    <w:qFormat/>
    <w:uiPriority w:val="99"/>
    <w:rPr>
      <w:sz w:val="18"/>
      <w:szCs w:val="18"/>
    </w:rPr>
  </w:style>
  <w:style w:type="paragraph" w:customStyle="1" w:styleId="12">
    <w:name w:val="p0"/>
    <w:basedOn w:val="1"/>
    <w:qFormat/>
    <w:uiPriority w:val="0"/>
    <w:pPr>
      <w:spacing w:before="100" w:beforeAutospacing="1" w:after="100" w:afterAutospacing="1" w:line="240" w:lineRule="auto"/>
    </w:pPr>
    <w:rPr>
      <w:rFonts w:ascii="宋体" w:hAnsi="宋体" w:eastAsia="宋体" w:cs="宋体"/>
      <w:color w:val="000000"/>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D8BD59-0092-47EA-AB10-3DD895C03B87}">
  <ds:schemaRefs/>
</ds:datastoreItem>
</file>

<file path=docProps/app.xml><?xml version="1.0" encoding="utf-8"?>
<Properties xmlns="http://schemas.openxmlformats.org/officeDocument/2006/extended-properties" xmlns:vt="http://schemas.openxmlformats.org/officeDocument/2006/docPropsVTypes">
  <Template>Normal</Template>
  <Pages>6</Pages>
  <Words>522</Words>
  <Characters>2980</Characters>
  <Lines>24</Lines>
  <Paragraphs>6</Paragraphs>
  <TotalTime>25</TotalTime>
  <ScaleCrop>false</ScaleCrop>
  <LinksUpToDate>false</LinksUpToDate>
  <CharactersWithSpaces>3496</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2019-06-06T07:34:00Z</dcterms:created>
  <dc:creator>Administrator</dc:creator>
  <cp:lastModifiedBy>Administrator</cp:lastModifiedBy>
  <dcterms:modified xsi:type="dcterms:W3CDTF">2019-07-11T04:20:08Z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