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line="900" w:lineRule="atLeast"/>
        <w:jc w:val="center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南县2018年少年体校</w:t>
      </w: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  <w:lang w:eastAsia="zh-CN"/>
        </w:rPr>
        <w:t>建设</w:t>
      </w: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和学生培养项目资金</w:t>
      </w:r>
    </w:p>
    <w:p>
      <w:pPr>
        <w:shd w:val="clear" w:color="auto" w:fill="FFFFFF"/>
        <w:spacing w:line="900" w:lineRule="atLeast"/>
        <w:jc w:val="center"/>
        <w:outlineLvl w:val="0"/>
        <w:rPr>
          <w:rFonts w:ascii="微软雅黑" w:hAnsi="微软雅黑" w:eastAsia="微软雅黑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color w:val="333333"/>
          <w:kern w:val="36"/>
          <w:sz w:val="36"/>
          <w:szCs w:val="36"/>
        </w:rPr>
        <w:t>绩效评价报告</w:t>
      </w:r>
    </w:p>
    <w:p>
      <w:pPr>
        <w:shd w:val="clear" w:color="auto" w:fill="FFFFFF"/>
        <w:spacing w:line="450" w:lineRule="atLeast"/>
        <w:ind w:firstLine="2240" w:firstLineChars="800"/>
        <w:jc w:val="both"/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</w:pP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</w:rPr>
        <w:t>湖南新财苑会计师事务所</w:t>
      </w:r>
      <w:r>
        <w:rPr>
          <w:rFonts w:hint="eastAsia" w:ascii="仿宋" w:hAnsi="仿宋" w:eastAsia="仿宋" w:cs="宋体"/>
          <w:bCs/>
          <w:color w:val="333333"/>
          <w:kern w:val="0"/>
          <w:sz w:val="28"/>
          <w:szCs w:val="28"/>
          <w:lang w:eastAsia="zh-CN"/>
        </w:rPr>
        <w:t>有限公司</w:t>
      </w:r>
    </w:p>
    <w:p>
      <w:pPr>
        <w:ind w:firstLine="900" w:firstLineChars="3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</w:t>
      </w:r>
      <w:r>
        <w:rPr>
          <w:rFonts w:hint="eastAsia" w:ascii="仿宋" w:hAnsi="仿宋" w:eastAsia="仿宋"/>
          <w:sz w:val="30"/>
          <w:szCs w:val="30"/>
          <w:shd w:val="clear" w:color="auto" w:fill="FFFFFF"/>
        </w:rPr>
        <w:t>《财政支出绩效评价管理暂行办法》（财预〔2011〕285号）、</w:t>
      </w:r>
      <w:r>
        <w:rPr>
          <w:rFonts w:hint="eastAsia" w:ascii="仿宋" w:hAnsi="仿宋" w:eastAsia="仿宋"/>
          <w:sz w:val="30"/>
          <w:szCs w:val="30"/>
        </w:rPr>
        <w:t>《预算绩效管理工作考核办法》（湘财绩〔2015〕15号）和《南县人民政府关于全面推进预算绩效管理的意见》（南政发〔2014〕7号）等文件</w:t>
      </w:r>
      <w:r>
        <w:rPr>
          <w:rFonts w:hint="eastAsia" w:ascii="仿宋" w:hAnsi="仿宋" w:eastAsia="仿宋"/>
          <w:sz w:val="30"/>
          <w:szCs w:val="30"/>
          <w:shd w:val="clear" w:color="auto" w:fill="FFFFFF"/>
        </w:rPr>
        <w:t>和其他有关法律法规的要求</w:t>
      </w:r>
      <w:r>
        <w:rPr>
          <w:rFonts w:hint="eastAsia" w:ascii="仿宋" w:hAnsi="仿宋" w:eastAsia="仿宋"/>
          <w:sz w:val="30"/>
          <w:szCs w:val="30"/>
        </w:rPr>
        <w:t>，受南县财政局的委托，我所成立绩效评价工作组，于2019年4月26日—7月5日对2018年度少年体校和学生培养项目资金（以下简称项目资金）开展了绩效评价。现将有关情况报告如下：</w:t>
      </w:r>
    </w:p>
    <w:p>
      <w:pPr>
        <w:pStyle w:val="6"/>
        <w:ind w:firstLine="803" w:firstLineChars="2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一、基本情况</w:t>
      </w:r>
    </w:p>
    <w:p>
      <w:pPr>
        <w:shd w:val="clear" w:color="auto" w:fill="FFFFFF"/>
        <w:spacing w:line="360" w:lineRule="atLeast"/>
        <w:ind w:firstLine="750" w:firstLineChars="250"/>
        <w:rPr>
          <w:rFonts w:ascii="仿宋" w:hAnsi="仿宋" w:eastAsia="仿宋" w:cs="宋体"/>
          <w:color w:val="555555"/>
          <w:kern w:val="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（一）项目单位基本情况。项目主管单位</w:t>
      </w:r>
      <w:r>
        <w:rPr>
          <w:rFonts w:hint="eastAsia" w:ascii="仿宋" w:hAnsi="仿宋" w:eastAsia="仿宋"/>
          <w:sz w:val="28"/>
          <w:szCs w:val="28"/>
        </w:rPr>
        <w:t>南县教育局是</w:t>
      </w:r>
      <w:r>
        <w:rPr>
          <w:rFonts w:ascii="仿宋" w:hAnsi="仿宋" w:eastAsia="仿宋"/>
          <w:sz w:val="28"/>
          <w:szCs w:val="28"/>
          <w:shd w:val="clear" w:color="auto" w:fill="FFFFFF"/>
        </w:rPr>
        <w:t>管理和指导全县基础教育、职业技术教育、成人教育、特殊教育、学前教育和社会力量办学工作</w:t>
      </w:r>
      <w:r>
        <w:rPr>
          <w:rFonts w:hint="eastAsia" w:ascii="仿宋" w:hAnsi="仿宋" w:eastAsia="仿宋"/>
          <w:sz w:val="28"/>
          <w:szCs w:val="28"/>
          <w:shd w:val="clear" w:color="auto" w:fill="FFFFFF"/>
        </w:rPr>
        <w:t>的政府职能部门。</w:t>
      </w:r>
      <w:r>
        <w:rPr>
          <w:rFonts w:ascii="仿宋" w:hAnsi="仿宋" w:eastAsia="仿宋"/>
          <w:sz w:val="28"/>
          <w:szCs w:val="28"/>
        </w:rPr>
        <w:t>内设14个股室、7个二级机构，下辖县属学校(园)12所、13个乡镇中心学校。全县现共有中小学校140所，公民办幼儿园142所。在校中小学生60199人，在园幼儿9582人;在职在岗教师5577人，离退休人员2218人。</w:t>
      </w:r>
    </w:p>
    <w:p>
      <w:pPr>
        <w:shd w:val="clear" w:color="auto" w:fill="FFFFFF"/>
        <w:spacing w:line="360" w:lineRule="atLeast"/>
        <w:rPr>
          <w:rFonts w:ascii="仿宋" w:hAnsi="仿宋" w:eastAsia="仿宋" w:cs="宋体"/>
          <w:color w:val="555555"/>
          <w:kern w:val="0"/>
          <w:sz w:val="30"/>
          <w:szCs w:val="30"/>
        </w:rPr>
      </w:pPr>
      <w:r>
        <w:rPr>
          <w:rFonts w:hint="eastAsia" w:ascii="宋体" w:hAnsi="宋体" w:eastAsia="宋体" w:cs="宋体"/>
          <w:color w:val="555555"/>
          <w:kern w:val="0"/>
          <w:sz w:val="30"/>
          <w:szCs w:val="30"/>
        </w:rPr>
        <w:t> </w:t>
      </w:r>
      <w:r>
        <w:rPr>
          <w:rFonts w:hint="eastAsia" w:ascii="仿宋" w:hAnsi="仿宋" w:eastAsia="仿宋" w:cs="宋体"/>
          <w:color w:val="555555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/>
          <w:sz w:val="30"/>
          <w:szCs w:val="30"/>
        </w:rPr>
        <w:t>（二）项目基本情况。南县2018年少年体校和学生培养项目是为了体育事业发展和人才培养的需要，加大对体育、艺术教育扶持力度，根据南发（2015）14号文件精神，将原体育部门主管的少年体校划转到南县立达中学，并每年安排50万元用于少年体校建设和学生培养，项目建设起止时间2018年1月1日至2018年12月31日。</w:t>
      </w:r>
    </w:p>
    <w:p>
      <w:pPr>
        <w:pStyle w:val="2"/>
        <w:shd w:val="clear" w:color="auto" w:fill="FFFFFF"/>
        <w:spacing w:before="0" w:beforeAutospacing="0" w:after="0" w:afterAutospacing="0"/>
        <w:ind w:firstLine="300" w:firstLineChars="10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 w:cstheme="minorBidi"/>
          <w:kern w:val="2"/>
          <w:sz w:val="30"/>
          <w:szCs w:val="30"/>
        </w:rPr>
        <w:t>(三)项目绩效目标完成情况。2018年度全年按计划进度完成，全年实际支出50.27万元,</w:t>
      </w:r>
      <w:r>
        <w:rPr>
          <w:rFonts w:hint="eastAsia" w:ascii="仿宋" w:hAnsi="仿宋" w:eastAsia="仿宋"/>
          <w:sz w:val="28"/>
          <w:szCs w:val="28"/>
        </w:rPr>
        <w:t xml:space="preserve"> 本</w:t>
      </w:r>
      <w:r>
        <w:rPr>
          <w:rFonts w:hint="eastAsia" w:ascii="仿宋" w:hAnsi="仿宋" w:eastAsia="仿宋" w:cstheme="minorBidi"/>
          <w:kern w:val="2"/>
          <w:sz w:val="30"/>
          <w:szCs w:val="30"/>
        </w:rPr>
        <w:t>项目的实施</w:t>
      </w:r>
      <w:r>
        <w:rPr>
          <w:rFonts w:hint="eastAsia" w:ascii="仿宋" w:hAnsi="仿宋" w:eastAsia="仿宋"/>
          <w:sz w:val="28"/>
          <w:szCs w:val="28"/>
        </w:rPr>
        <w:t>推动了全县体育运动的发展， 为国家培养大批优秀体育后备人才，其中年向上海体院输送了三名优秀的专业人才，在十三届省运会取得一金三银一铜好成绩。</w:t>
      </w:r>
    </w:p>
    <w:p>
      <w:pPr>
        <w:ind w:firstLine="482" w:firstLineChars="15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二、项目资金使用及管理情况</w:t>
      </w:r>
    </w:p>
    <w:p>
      <w:pPr>
        <w:ind w:firstLine="480"/>
        <w:rPr>
          <w:rFonts w:hint="default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（一）项目资金到位情况。根据南发改字（2015）14号文件要求，项目共到位资金50万元，</w:t>
      </w:r>
      <w:r>
        <w:rPr>
          <w:rFonts w:hint="eastAsia" w:ascii="仿宋" w:hAnsi="仿宋" w:eastAsia="仿宋"/>
          <w:sz w:val="30"/>
          <w:szCs w:val="30"/>
          <w:lang w:eastAsia="zh-CN"/>
        </w:rPr>
        <w:t>由南</w:t>
      </w:r>
      <w:r>
        <w:rPr>
          <w:rFonts w:hint="eastAsia" w:ascii="仿宋" w:hAnsi="仿宋" w:eastAsia="仿宋"/>
          <w:sz w:val="30"/>
          <w:szCs w:val="30"/>
        </w:rPr>
        <w:t>县财政局</w:t>
      </w:r>
      <w:r>
        <w:rPr>
          <w:rFonts w:hint="eastAsia" w:ascii="仿宋" w:hAnsi="仿宋" w:eastAsia="仿宋"/>
          <w:sz w:val="30"/>
          <w:szCs w:val="30"/>
          <w:lang w:eastAsia="zh-CN"/>
        </w:rPr>
        <w:t>拔付</w:t>
      </w:r>
      <w:r>
        <w:rPr>
          <w:rFonts w:hint="eastAsia" w:ascii="仿宋" w:hAnsi="仿宋" w:eastAsia="仿宋"/>
          <w:sz w:val="30"/>
          <w:szCs w:val="30"/>
        </w:rPr>
        <w:t>资金50万元</w:t>
      </w:r>
      <w:r>
        <w:rPr>
          <w:rFonts w:hint="eastAsia" w:ascii="仿宋" w:hAnsi="仿宋" w:eastAsia="仿宋"/>
          <w:sz w:val="30"/>
          <w:szCs w:val="30"/>
          <w:lang w:eastAsia="zh-CN"/>
        </w:rPr>
        <w:t>，资金到位率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100%。</w:t>
      </w:r>
    </w:p>
    <w:p>
      <w:pPr>
        <w:ind w:firstLine="48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</w:rPr>
        <w:t>（二）项目资金使用情况。该项目建设实际支出资金502700万元。</w:t>
      </w:r>
      <w:r>
        <w:rPr>
          <w:rFonts w:hint="eastAsia" w:ascii="仿宋" w:hAnsi="仿宋" w:eastAsia="仿宋"/>
          <w:sz w:val="30"/>
          <w:szCs w:val="30"/>
          <w:lang w:eastAsia="zh-CN"/>
        </w:rPr>
        <w:t>具体支出明细如下表：</w:t>
      </w:r>
    </w:p>
    <w:p>
      <w:pPr>
        <w:ind w:firstLine="480"/>
        <w:rPr>
          <w:rFonts w:hint="eastAsia" w:ascii="仿宋" w:hAnsi="仿宋" w:eastAsia="仿宋"/>
          <w:sz w:val="30"/>
          <w:szCs w:val="30"/>
          <w:lang w:eastAsia="zh-CN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单位：元</w:t>
      </w:r>
    </w:p>
    <w:tbl>
      <w:tblPr>
        <w:tblStyle w:val="4"/>
        <w:tblW w:w="8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1"/>
        <w:gridCol w:w="2700"/>
        <w:gridCol w:w="1300"/>
        <w:gridCol w:w="2138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序号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项目名称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金额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所占资金比例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体育设备设施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152245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30.29%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水电费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50465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10.04%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外聘教练工资补助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66756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13.28%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4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外出培训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7272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1.45%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5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维护维修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74579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14.84%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6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办公设备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7300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1.45%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7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净水设备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36440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7.25%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8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学生外出活动参赛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85243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16.96%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1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9</w:t>
            </w:r>
          </w:p>
        </w:tc>
        <w:tc>
          <w:tcPr>
            <w:tcW w:w="2700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教练员训练补助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22400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spacing w:beforeLines="0" w:afterLines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2"/>
              </w:rPr>
              <w:t>4.46%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61" w:type="dxa"/>
            <w:gridSpan w:val="2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  <w:t>合计：</w:t>
            </w:r>
          </w:p>
        </w:tc>
        <w:tc>
          <w:tcPr>
            <w:tcW w:w="1300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502700</w:t>
            </w:r>
          </w:p>
        </w:tc>
        <w:tc>
          <w:tcPr>
            <w:tcW w:w="2138" w:type="dxa"/>
            <w:vAlign w:val="center"/>
          </w:tcPr>
          <w:p>
            <w:pPr>
              <w:widowControl w:val="0"/>
              <w:jc w:val="center"/>
              <w:rPr>
                <w:rFonts w:hint="default" w:ascii="仿宋" w:hAnsi="仿宋" w:eastAsia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sz w:val="30"/>
                <w:szCs w:val="30"/>
                <w:vertAlign w:val="baseline"/>
                <w:lang w:val="en-US" w:eastAsia="zh-CN"/>
              </w:rPr>
              <w:t>100%</w:t>
            </w:r>
          </w:p>
        </w:tc>
        <w:tc>
          <w:tcPr>
            <w:tcW w:w="1525" w:type="dxa"/>
            <w:vAlign w:val="center"/>
          </w:tcPr>
          <w:p>
            <w:pPr>
              <w:widowControl w:val="0"/>
              <w:jc w:val="center"/>
              <w:rPr>
                <w:rFonts w:hint="eastAsia" w:ascii="仿宋" w:hAnsi="仿宋" w:eastAsia="仿宋"/>
                <w:sz w:val="30"/>
                <w:szCs w:val="30"/>
                <w:vertAlign w:val="baseline"/>
                <w:lang w:eastAsia="zh-CN"/>
              </w:rPr>
            </w:pPr>
          </w:p>
        </w:tc>
      </w:tr>
    </w:tbl>
    <w:p>
      <w:pPr>
        <w:ind w:firstLine="480"/>
        <w:rPr>
          <w:rFonts w:hint="eastAsia" w:ascii="仿宋" w:hAnsi="仿宋" w:eastAsia="仿宋"/>
          <w:sz w:val="30"/>
          <w:szCs w:val="30"/>
          <w:lang w:eastAsia="zh-CN"/>
        </w:rPr>
      </w:pPr>
    </w:p>
    <w:p>
      <w:pPr>
        <w:ind w:firstLine="48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（三）项目资金管理情况。项目实施单位根据国家对专项资金的安排规定，结合项目实施单位实际情况，制定了专项资金管理制度，明确专项资金的管理范围、管理原则及使用原则。</w:t>
      </w:r>
    </w:p>
    <w:p>
      <w:pPr>
        <w:ind w:firstLine="48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三、项目组织实施情况</w:t>
      </w:r>
    </w:p>
    <w:p>
      <w:pPr>
        <w:ind w:firstLine="48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（一）制度建设情况。项目实施单位南县立达中学根据上级文件，结合项目单位实施实际情况，组建了财政专项经费使用及项目实施领导小组、制定了财政专项资金管理制度、运动员管理制度、训练部门工作职责、体校工作职责等。</w:t>
      </w:r>
    </w:p>
    <w:p>
      <w:pPr>
        <w:ind w:firstLine="48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（二）项目实施情况。该项目组织实施程序基本合规,做到了以下几项:一是开展了项目可行性研究报告。二是按要求进行了项目申报；三是签订了劳动合同。与教练员签订劳动合同，明确双方的权利和义务；四是对教练员训练项目进行具体分工；四是加强项目管理。组建项目实施领导小组，明确领导小组人员分工及职责范围；制定资金管理制度，提高项目资金使用效率；五是对专项经费定期检查。在项目建设期间，定期对专项资金的使用、管理、完成进度、执行结果等进行了解、检查。</w:t>
      </w:r>
    </w:p>
    <w:p>
      <w:pPr>
        <w:ind w:firstLine="480"/>
        <w:rPr>
          <w:rFonts w:asciiTheme="majorEastAsia" w:hAnsiTheme="majorEastAsia" w:eastAsiaTheme="majorEastAsia"/>
          <w:b/>
          <w:color w:val="FF0000"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四、绩效评价工作情况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（一）绩效评价目的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 通过绩效评价全面分析该项目资金使用、管理和项目实施情况，进一步规范少年体校和学生培养项目立项、审批、实施、验收及后期管护等，完善资金分配、使用及管理等制度，切实提高财政资金使用效益。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 xml:space="preserve">  （二）绩效评价工作过程。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根据相关政策规定南财绩函（﹝2019﹞14号）文件要求，我所按下列步骤开展了绩效评价工作。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1、前期准备。我所抽调专人成立了绩效评价工作组，明确了工作职责，制定了现场评价方案，设计了相关表格，联系了相关部门和单位，确定了实施时间。</w:t>
      </w:r>
    </w:p>
    <w:p>
      <w:pPr>
        <w:ind w:firstLine="48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、实施情况。项目绩效评价实施步骤：（1）召开座谈会。组织项目主管单位、实施单位及受益群体代表召开座谈会，听取该项目有关情况介绍。（2）收集核查资料。收集该项目相关文件和项目实施单位相关制度等资料；核查相关制度是否完善，项目立项、评审、验收等程序是否符合要求，项目支出是否合规，资金拨付手续是否齐全，是否存在截留、挪用等情况。（3）现场查看。进入项目实施单位实地查看，拍照取证，调查走访，发放问卷调查。（4）得出评价结论，形成绩效评价报告。</w:t>
      </w:r>
    </w:p>
    <w:p>
      <w:pPr>
        <w:pStyle w:val="6"/>
        <w:ind w:firstLine="48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五、绩效评价结果和主要绩效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根据该项目资金绩效评价指标体系和绩效检查情况，该项目整体绩效分值100份，实得77分（详见后附2018年南县少年体校建设项目支出绩效评价指标评分表）。被评为“良好”主要绩效表现在以下几个方面：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一是为国家培养大批优秀体育后备人才，向上级体校输送人才。其中2018年向上海体院输送了三名优秀的专业人才，在十三届省运会取得一金三银一铜好成绩。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二是推动全县体育运动的发展，对增强全民素质，提高全民健身水平和整体运动技术起到了重要的作用。</w:t>
      </w:r>
    </w:p>
    <w:p>
      <w:pPr>
        <w:pStyle w:val="6"/>
        <w:ind w:firstLine="480"/>
        <w:rPr>
          <w:rFonts w:asciiTheme="majorEastAsia" w:hAnsiTheme="majorEastAsia" w:eastAsiaTheme="majorEastAsia"/>
          <w:b/>
          <w:sz w:val="32"/>
          <w:szCs w:val="32"/>
        </w:rPr>
      </w:pPr>
      <w:r>
        <w:rPr>
          <w:rFonts w:hint="eastAsia" w:asciiTheme="majorEastAsia" w:hAnsiTheme="majorEastAsia" w:eastAsiaTheme="majorEastAsia"/>
          <w:b/>
          <w:sz w:val="32"/>
          <w:szCs w:val="32"/>
        </w:rPr>
        <w:t>六、存在的主要问题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/>
          <w:sz w:val="30"/>
          <w:szCs w:val="30"/>
        </w:rPr>
        <w:t xml:space="preserve"> </w:t>
      </w: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（一）虽然提供了绩效目标申报表，但指向不明、细化、量化不够。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（二）资金使用与财务核算欠规范。专项资金未专户列示；发票管理不严谨，无法体现资金的具体用途，不能确认是否应该列在专项经费中；办公楼二楼厕所改造维修费49743元、水电费50465元等均应属立达中学基本支出费用而少年体校的专项费用（无相关依据）。</w:t>
      </w:r>
    </w:p>
    <w:p>
      <w:pPr>
        <w:pStyle w:val="6"/>
        <w:ind w:firstLine="480"/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（三）项目建设进程滞后。截止绩效现场评价日2019年5月24日，场外的高低杠场地还未清理好，影响学生训</w:t>
      </w:r>
      <w:r>
        <w:rPr>
          <w:rFonts w:hint="eastAsia" w:ascii="仿宋" w:hAnsi="仿宋" w:eastAsia="仿宋"/>
          <w:sz w:val="30"/>
          <w:szCs w:val="30"/>
          <w:lang w:eastAsia="zh-CN"/>
        </w:rPr>
        <w:t>练。</w:t>
      </w:r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仿宋" w:hAnsi="仿宋" w:eastAsia="仿宋"/>
        </w:rPr>
        <w:t xml:space="preserve">   </w:t>
      </w:r>
      <w:r>
        <w:rPr>
          <w:rFonts w:hint="eastAsia"/>
          <w:b/>
          <w:sz w:val="32"/>
          <w:szCs w:val="32"/>
        </w:rPr>
        <w:t xml:space="preserve"> 七、建议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 xml:space="preserve"> （一）提高绩效目标编制水平。根据《财政支出绩效评价管理暂行办法》（财预〔2011〕285号）、《预算绩效管理工作考核办法》（湘财绩〔2015〕15号）文件要求，申请项目专项资金要编制项目资金绩效申报表，在编制项目资金绩效目标时要求指向明确、细化量化、合理可行、相应匹配。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（二）进一步规范财务核算制度。严格按照文件规定的经费使用范围列支，设立专项账，严格区分专项资金与日常经费，准确、真实的反映专项资金的使用情况。在会计核算方面，发票要规范、明确开支内容，准确核算。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  <w:t>（三）制定项目跟踪建设制度，加快场外高低杆项目建设进程，发挥财政资金的投入效益。</w:t>
      </w:r>
    </w:p>
    <w:p>
      <w:pPr>
        <w:pStyle w:val="6"/>
        <w:ind w:firstLine="480"/>
        <w:rPr>
          <w:rFonts w:hint="eastAsia" w:ascii="仿宋" w:hAnsi="仿宋" w:eastAsia="仿宋" w:cstheme="minorBidi"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</w:p>
    <w:p>
      <w:pPr>
        <w:pStyle w:val="6"/>
        <w:ind w:firstLine="480"/>
        <w:rPr>
          <w:rFonts w:ascii="仿宋" w:hAnsi="仿宋" w:eastAsia="仿宋"/>
          <w:sz w:val="28"/>
          <w:szCs w:val="28"/>
        </w:rPr>
      </w:pPr>
    </w:p>
    <w:p>
      <w:pPr>
        <w:pStyle w:val="6"/>
        <w:ind w:firstLine="480"/>
        <w:rPr>
          <w:rFonts w:ascii="仿宋" w:hAnsi="仿宋" w:eastAsia="仿宋"/>
          <w:sz w:val="28"/>
          <w:szCs w:val="28"/>
        </w:rPr>
      </w:pPr>
    </w:p>
    <w:p>
      <w:pPr>
        <w:pStyle w:val="6"/>
        <w:ind w:firstLine="6160" w:firstLineChars="2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2019年5月29日</w:t>
      </w:r>
    </w:p>
    <w:p>
      <w:pPr>
        <w:pStyle w:val="6"/>
        <w:ind w:firstLine="480"/>
        <w:rPr>
          <w:rFonts w:ascii="仿宋" w:hAnsi="仿宋" w:eastAsia="仿宋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1335A"/>
    <w:rsid w:val="00065665"/>
    <w:rsid w:val="000A0340"/>
    <w:rsid w:val="000B3D15"/>
    <w:rsid w:val="000C0FE2"/>
    <w:rsid w:val="000E2752"/>
    <w:rsid w:val="000F1315"/>
    <w:rsid w:val="000F2ACA"/>
    <w:rsid w:val="000F50E8"/>
    <w:rsid w:val="00147956"/>
    <w:rsid w:val="00167E80"/>
    <w:rsid w:val="0018199C"/>
    <w:rsid w:val="00187EEE"/>
    <w:rsid w:val="001A3AFC"/>
    <w:rsid w:val="001B2AEC"/>
    <w:rsid w:val="001B3D22"/>
    <w:rsid w:val="001B573D"/>
    <w:rsid w:val="001C1213"/>
    <w:rsid w:val="001D0D6B"/>
    <w:rsid w:val="001E2F50"/>
    <w:rsid w:val="00200E4D"/>
    <w:rsid w:val="00221162"/>
    <w:rsid w:val="0022517E"/>
    <w:rsid w:val="00232700"/>
    <w:rsid w:val="002358C5"/>
    <w:rsid w:val="0026248C"/>
    <w:rsid w:val="00264CD8"/>
    <w:rsid w:val="00283DA9"/>
    <w:rsid w:val="002F3B60"/>
    <w:rsid w:val="00305F6D"/>
    <w:rsid w:val="00317B4C"/>
    <w:rsid w:val="00324225"/>
    <w:rsid w:val="003666A4"/>
    <w:rsid w:val="00384A4C"/>
    <w:rsid w:val="00386BB0"/>
    <w:rsid w:val="003A0875"/>
    <w:rsid w:val="003D23A4"/>
    <w:rsid w:val="003E28D3"/>
    <w:rsid w:val="003E4D95"/>
    <w:rsid w:val="003E6D8E"/>
    <w:rsid w:val="004001CD"/>
    <w:rsid w:val="00425808"/>
    <w:rsid w:val="00431DFC"/>
    <w:rsid w:val="00447BC7"/>
    <w:rsid w:val="00460FD9"/>
    <w:rsid w:val="00482313"/>
    <w:rsid w:val="004829B8"/>
    <w:rsid w:val="004E182A"/>
    <w:rsid w:val="00501BC1"/>
    <w:rsid w:val="005748D1"/>
    <w:rsid w:val="005A0607"/>
    <w:rsid w:val="005A132A"/>
    <w:rsid w:val="005A6674"/>
    <w:rsid w:val="005A679E"/>
    <w:rsid w:val="005A69B3"/>
    <w:rsid w:val="005C224A"/>
    <w:rsid w:val="005C5A77"/>
    <w:rsid w:val="005D30FF"/>
    <w:rsid w:val="005E6E1F"/>
    <w:rsid w:val="0062702A"/>
    <w:rsid w:val="00637EF4"/>
    <w:rsid w:val="0065649E"/>
    <w:rsid w:val="00670AF7"/>
    <w:rsid w:val="00672842"/>
    <w:rsid w:val="00686D23"/>
    <w:rsid w:val="006903F8"/>
    <w:rsid w:val="006A4AF2"/>
    <w:rsid w:val="006D2288"/>
    <w:rsid w:val="006E0495"/>
    <w:rsid w:val="006F43C9"/>
    <w:rsid w:val="00700E79"/>
    <w:rsid w:val="00701BB0"/>
    <w:rsid w:val="00703CFF"/>
    <w:rsid w:val="00707806"/>
    <w:rsid w:val="0074162A"/>
    <w:rsid w:val="00757391"/>
    <w:rsid w:val="00772D30"/>
    <w:rsid w:val="00773343"/>
    <w:rsid w:val="007A0246"/>
    <w:rsid w:val="007A3DB3"/>
    <w:rsid w:val="007C5A49"/>
    <w:rsid w:val="007C65AB"/>
    <w:rsid w:val="007E3002"/>
    <w:rsid w:val="007F6551"/>
    <w:rsid w:val="00803268"/>
    <w:rsid w:val="00875908"/>
    <w:rsid w:val="0088278C"/>
    <w:rsid w:val="008E521C"/>
    <w:rsid w:val="00923836"/>
    <w:rsid w:val="009A3E27"/>
    <w:rsid w:val="009C558A"/>
    <w:rsid w:val="009E7AB8"/>
    <w:rsid w:val="00A26203"/>
    <w:rsid w:val="00A327DE"/>
    <w:rsid w:val="00A4504D"/>
    <w:rsid w:val="00A536B1"/>
    <w:rsid w:val="00A53FDF"/>
    <w:rsid w:val="00A77DB5"/>
    <w:rsid w:val="00A8645C"/>
    <w:rsid w:val="00AC19B2"/>
    <w:rsid w:val="00AD487F"/>
    <w:rsid w:val="00AF32A8"/>
    <w:rsid w:val="00B4209D"/>
    <w:rsid w:val="00B426FD"/>
    <w:rsid w:val="00B5433E"/>
    <w:rsid w:val="00B90688"/>
    <w:rsid w:val="00B9259F"/>
    <w:rsid w:val="00C01044"/>
    <w:rsid w:val="00C3689C"/>
    <w:rsid w:val="00C45C70"/>
    <w:rsid w:val="00C539D8"/>
    <w:rsid w:val="00C64652"/>
    <w:rsid w:val="00C66843"/>
    <w:rsid w:val="00C72A00"/>
    <w:rsid w:val="00C732D2"/>
    <w:rsid w:val="00C9069B"/>
    <w:rsid w:val="00C95E27"/>
    <w:rsid w:val="00CD1927"/>
    <w:rsid w:val="00D04D00"/>
    <w:rsid w:val="00D071FF"/>
    <w:rsid w:val="00D55BB2"/>
    <w:rsid w:val="00E00703"/>
    <w:rsid w:val="00E12F21"/>
    <w:rsid w:val="00E659BB"/>
    <w:rsid w:val="00E75B44"/>
    <w:rsid w:val="00E87C36"/>
    <w:rsid w:val="00ED34A2"/>
    <w:rsid w:val="00ED44D4"/>
    <w:rsid w:val="00EE306D"/>
    <w:rsid w:val="00F03227"/>
    <w:rsid w:val="00F52092"/>
    <w:rsid w:val="00F65304"/>
    <w:rsid w:val="030607F2"/>
    <w:rsid w:val="603C3A3D"/>
    <w:rsid w:val="747E4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540" w:lineRule="exact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styleId="6">
    <w:name w:val="No Spacing"/>
    <w:qFormat/>
    <w:uiPriority w:val="1"/>
    <w:pPr>
      <w:widowControl w:val="0"/>
      <w:spacing w:line="540" w:lineRule="exac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520</Words>
  <Characters>2967</Characters>
  <Lines>24</Lines>
  <Paragraphs>6</Paragraphs>
  <TotalTime>1</TotalTime>
  <ScaleCrop>false</ScaleCrop>
  <LinksUpToDate>false</LinksUpToDate>
  <CharactersWithSpaces>3481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2019-06-10T00:21:00Z</dcterms:created>
  <dc:creator>xb21cn</dc:creator>
  <cp:lastModifiedBy>Administrator</cp:lastModifiedBy>
  <dcterms:modified xsi:type="dcterms:W3CDTF">2019-07-11T16:17:57Z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