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hd w:val="clear" w:color="auto" w:fill="FFFFFF"/>
        <w:spacing w:line="900" w:lineRule="atLeast"/>
        <w:jc w:val="center"/>
        <w:outlineLvl w:val="0"/>
        <w:rPr>
          <w:rFonts w:hint="eastAsia" w:ascii="微软雅黑" w:hAnsi="微软雅黑" w:eastAsia="微软雅黑" w:cs="宋体"/>
          <w:b/>
          <w:bCs/>
          <w:color w:val="333333"/>
          <w:kern w:val="36"/>
          <w:sz w:val="36"/>
          <w:szCs w:val="36"/>
          <w:lang w:eastAsia="zh-CN"/>
        </w:rPr>
      </w:pPr>
      <w:r>
        <w:rPr>
          <w:rFonts w:hint="eastAsia" w:ascii="微软雅黑" w:hAnsi="微软雅黑" w:eastAsia="微软雅黑" w:cs="宋体"/>
          <w:b/>
          <w:bCs/>
          <w:color w:val="333333"/>
          <w:kern w:val="36"/>
          <w:sz w:val="36"/>
          <w:szCs w:val="36"/>
        </w:rPr>
        <w:t>南县</w:t>
      </w:r>
      <w:r>
        <w:rPr>
          <w:rFonts w:hint="eastAsia" w:ascii="微软雅黑" w:hAnsi="微软雅黑" w:eastAsia="微软雅黑" w:cs="宋体"/>
          <w:b/>
          <w:bCs/>
          <w:color w:val="333333"/>
          <w:kern w:val="36"/>
          <w:sz w:val="36"/>
          <w:szCs w:val="36"/>
          <w:lang w:eastAsia="zh-CN"/>
        </w:rPr>
        <w:t>公安局交通警察大队交通安全宣传</w:t>
      </w:r>
    </w:p>
    <w:p>
      <w:pPr>
        <w:shd w:val="clear" w:color="auto" w:fill="FFFFFF"/>
        <w:spacing w:line="900" w:lineRule="atLeast"/>
        <w:jc w:val="center"/>
        <w:outlineLvl w:val="0"/>
        <w:rPr>
          <w:rFonts w:ascii="微软雅黑" w:hAnsi="微软雅黑" w:eastAsia="微软雅黑" w:cs="宋体"/>
          <w:b/>
          <w:bCs/>
          <w:color w:val="333333"/>
          <w:kern w:val="36"/>
          <w:sz w:val="36"/>
          <w:szCs w:val="36"/>
        </w:rPr>
      </w:pPr>
      <w:r>
        <w:rPr>
          <w:rFonts w:hint="eastAsia" w:ascii="微软雅黑" w:hAnsi="微软雅黑" w:eastAsia="微软雅黑" w:cs="宋体"/>
          <w:b/>
          <w:bCs/>
          <w:color w:val="333333"/>
          <w:kern w:val="36"/>
          <w:sz w:val="36"/>
          <w:szCs w:val="36"/>
          <w:lang w:eastAsia="zh-CN"/>
        </w:rPr>
        <w:t>专项资金</w:t>
      </w:r>
      <w:r>
        <w:rPr>
          <w:rFonts w:hint="eastAsia" w:ascii="微软雅黑" w:hAnsi="微软雅黑" w:eastAsia="微软雅黑" w:cs="宋体"/>
          <w:b/>
          <w:bCs/>
          <w:color w:val="333333"/>
          <w:kern w:val="36"/>
          <w:sz w:val="36"/>
          <w:szCs w:val="36"/>
        </w:rPr>
        <w:t>绩效评价报告</w:t>
      </w:r>
    </w:p>
    <w:p>
      <w:pPr>
        <w:shd w:val="clear" w:color="auto" w:fill="FFFFFF"/>
        <w:spacing w:line="450" w:lineRule="atLeast"/>
        <w:ind w:firstLine="2660" w:firstLineChars="950"/>
        <w:rPr>
          <w:rFonts w:ascii="仿宋" w:hAnsi="仿宋" w:eastAsia="仿宋" w:cs="宋体"/>
          <w:bCs/>
          <w:color w:val="333333"/>
          <w:kern w:val="0"/>
          <w:sz w:val="28"/>
          <w:szCs w:val="28"/>
        </w:rPr>
      </w:pPr>
      <w:r>
        <w:rPr>
          <w:rFonts w:hint="eastAsia" w:ascii="仿宋" w:hAnsi="仿宋" w:eastAsia="仿宋" w:cs="宋体"/>
          <w:bCs/>
          <w:color w:val="333333"/>
          <w:kern w:val="0"/>
          <w:sz w:val="28"/>
          <w:szCs w:val="28"/>
        </w:rPr>
        <w:t>湖南新财苑会计师事务所</w:t>
      </w:r>
    </w:p>
    <w:p>
      <w:pPr>
        <w:ind w:firstLine="560" w:firstLineChars="200"/>
        <w:rPr>
          <w:rFonts w:ascii="仿宋" w:hAnsi="仿宋" w:eastAsia="仿宋"/>
          <w:sz w:val="28"/>
          <w:szCs w:val="28"/>
        </w:rPr>
      </w:pPr>
      <w:r>
        <w:rPr>
          <w:rFonts w:hint="eastAsia" w:ascii="仿宋" w:hAnsi="仿宋" w:eastAsia="仿宋"/>
          <w:sz w:val="28"/>
          <w:szCs w:val="28"/>
        </w:rPr>
        <w:t>为进一步规范财政资金管理，强化财政资金支出绩效理念，切实提高财政资金使用效益，根据《中共中央 国务院关于全面实施预算绩效管理的意见》（中发〔2018〕34号）、《预算绩效管理工作考核办法》（湘财绩〔2015〕15号）和《省财政厅2019年工作规划》等文件要求，受南县财政局的委托，我所成立专项资金绩效评价工作组，于2019年4月26日—7月5日对2018年度</w:t>
      </w:r>
      <w:r>
        <w:rPr>
          <w:rFonts w:hint="eastAsia" w:ascii="仿宋" w:hAnsi="仿宋" w:eastAsia="仿宋"/>
          <w:sz w:val="28"/>
          <w:szCs w:val="28"/>
          <w:lang w:eastAsia="zh-CN"/>
        </w:rPr>
        <w:t>对南县公安局交通警察大队交通安全宣传</w:t>
      </w:r>
      <w:r>
        <w:rPr>
          <w:rFonts w:hint="eastAsia" w:ascii="仿宋" w:hAnsi="仿宋" w:eastAsia="仿宋"/>
          <w:sz w:val="28"/>
          <w:szCs w:val="28"/>
        </w:rPr>
        <w:t>项目资金（以下简称项目资金）开展了绩效评价。现将有关情况报告如下：</w:t>
      </w:r>
    </w:p>
    <w:p>
      <w:pPr>
        <w:pStyle w:val="5"/>
        <w:ind w:firstLine="643" w:firstLineChars="200"/>
        <w:rPr>
          <w:b/>
          <w:sz w:val="32"/>
          <w:szCs w:val="32"/>
        </w:rPr>
      </w:pPr>
      <w:r>
        <w:rPr>
          <w:rFonts w:hint="eastAsia"/>
          <w:b/>
          <w:sz w:val="32"/>
          <w:szCs w:val="32"/>
        </w:rPr>
        <w:t>一、基本情况</w:t>
      </w:r>
    </w:p>
    <w:p>
      <w:pPr>
        <w:shd w:val="clear" w:color="auto" w:fill="FFFFFF"/>
        <w:spacing w:line="360" w:lineRule="atLeast"/>
        <w:ind w:firstLine="560" w:firstLineChars="200"/>
        <w:rPr>
          <w:rFonts w:hint="default" w:ascii="仿宋" w:hAnsi="仿宋" w:eastAsia="仿宋"/>
          <w:sz w:val="28"/>
          <w:szCs w:val="28"/>
          <w:lang w:val="en-US" w:eastAsia="zh-CN"/>
        </w:rPr>
      </w:pPr>
      <w:r>
        <w:rPr>
          <w:rFonts w:hint="eastAsia" w:ascii="仿宋" w:hAnsi="仿宋" w:eastAsia="仿宋"/>
          <w:sz w:val="28"/>
          <w:szCs w:val="28"/>
          <w:lang w:val="en-US" w:eastAsia="zh-CN"/>
        </w:rPr>
        <w:t>(</w:t>
      </w:r>
      <w:r>
        <w:rPr>
          <w:rFonts w:hint="eastAsia" w:ascii="仿宋" w:hAnsi="仿宋" w:eastAsia="仿宋"/>
          <w:sz w:val="28"/>
          <w:szCs w:val="28"/>
        </w:rPr>
        <w:t>一</w:t>
      </w:r>
      <w:r>
        <w:rPr>
          <w:rFonts w:hint="eastAsia" w:ascii="仿宋" w:hAnsi="仿宋" w:eastAsia="仿宋"/>
          <w:sz w:val="28"/>
          <w:szCs w:val="28"/>
          <w:lang w:val="en-US" w:eastAsia="zh-CN"/>
        </w:rPr>
        <w:t>)</w:t>
      </w:r>
      <w:r>
        <w:rPr>
          <w:rFonts w:hint="eastAsia" w:ascii="仿宋" w:hAnsi="仿宋" w:eastAsia="仿宋"/>
          <w:sz w:val="28"/>
          <w:szCs w:val="28"/>
        </w:rPr>
        <w:t>项目单位基本情况。</w:t>
      </w:r>
      <w:r>
        <w:rPr>
          <w:rFonts w:hint="eastAsia" w:ascii="仿宋" w:hAnsi="仿宋" w:eastAsia="仿宋"/>
          <w:sz w:val="28"/>
          <w:szCs w:val="28"/>
          <w:lang w:eastAsia="zh-CN"/>
        </w:rPr>
        <w:t>根据《中共南县县委南县人民政府关于印发</w:t>
      </w:r>
      <w:r>
        <w:rPr>
          <w:rFonts w:hint="eastAsia" w:ascii="仿宋" w:hAnsi="仿宋" w:eastAsia="仿宋"/>
          <w:sz w:val="28"/>
          <w:szCs w:val="28"/>
          <w:lang w:val="en-US" w:eastAsia="zh-CN"/>
        </w:rPr>
        <w:t>&lt;南县人民政府机构改革方案的实施意见&gt;的通知</w:t>
      </w:r>
      <w:r>
        <w:rPr>
          <w:rFonts w:hint="eastAsia" w:ascii="仿宋" w:hAnsi="仿宋" w:eastAsia="仿宋"/>
          <w:sz w:val="28"/>
          <w:szCs w:val="28"/>
          <w:lang w:eastAsia="zh-CN"/>
        </w:rPr>
        <w:t>》</w:t>
      </w:r>
      <w:r>
        <w:rPr>
          <w:rFonts w:hint="eastAsia" w:ascii="仿宋" w:hAnsi="仿宋" w:eastAsia="仿宋"/>
          <w:sz w:val="28"/>
          <w:szCs w:val="28"/>
          <w:lang w:val="en-US" w:eastAsia="zh-CN"/>
        </w:rPr>
        <w:t>(南发[2010]12号)，南县公安局交通警察大队是县公安局主管全县道路交通安全的职能部门，为正科级机构。</w:t>
      </w:r>
      <w:r>
        <w:rPr>
          <w:rFonts w:hint="eastAsia" w:ascii="仿宋" w:hAnsi="仿宋" w:eastAsia="仿宋"/>
          <w:sz w:val="28"/>
          <w:szCs w:val="28"/>
          <w:lang w:eastAsia="zh-CN"/>
        </w:rPr>
        <w:t>主要职责为：贯彻执行国家、省有关道路交通管理的法律、法规、规章和相关的方针、政策，研究拟定全县道路交通管理对策和发展规划；负责维护全县道路交通秩序，参与研究城市建设规划，管理道路交通安全设施；参与道路检查站审核、申报和有关管理工作；参与对涉及交通安全、交通秩序的停车声</w:t>
      </w:r>
      <w:r>
        <w:rPr>
          <w:rFonts w:hint="eastAsia" w:ascii="仿宋" w:hAnsi="仿宋" w:eastAsia="仿宋"/>
          <w:sz w:val="28"/>
          <w:szCs w:val="28"/>
          <w:lang w:val="en-US" w:eastAsia="zh-CN"/>
        </w:rPr>
        <w:t>(库)、营运车两停靠点的规划建设和影响交通的道路施工许可及负责城市出租车辆的交通管理工作；负债预防和处理全县道路交通事故、基层道路交通安全强弱的建设和管理、开展全民道路交通安全宣传教育 、道路交通管理的行政处罚；组织实施交通警（保）卫工作；负债全县机动车辆、非机动车辆的管理和牌证核发；负债对全县机动车驾驶人的管理；负债全县公安交通管理科学技术研究、开发、推广和应用；负债道路施救；负责受理群众的电话报警、求助和投诉；承办县委、县人民政府交办的其他机构</w:t>
      </w:r>
      <w:r>
        <w:rPr>
          <w:rFonts w:hint="eastAsia" w:ascii="仿宋" w:hAnsi="仿宋" w:eastAsia="仿宋"/>
          <w:sz w:val="28"/>
          <w:szCs w:val="28"/>
          <w:lang w:eastAsia="zh-CN"/>
        </w:rPr>
        <w:t>。</w:t>
      </w:r>
      <w:r>
        <w:rPr>
          <w:rFonts w:hint="eastAsia" w:ascii="仿宋" w:hAnsi="仿宋" w:eastAsia="仿宋"/>
          <w:sz w:val="28"/>
          <w:szCs w:val="28"/>
          <w:lang w:val="en-US" w:eastAsia="zh-CN"/>
        </w:rPr>
        <w:t>该大队现有</w:t>
      </w:r>
      <w:r>
        <w:rPr>
          <w:rFonts w:hint="eastAsia" w:ascii="仿宋" w:hAnsi="仿宋" w:eastAsia="仿宋"/>
          <w:sz w:val="28"/>
          <w:szCs w:val="28"/>
          <w:lang w:eastAsia="zh-CN"/>
        </w:rPr>
        <w:t>编制人数</w:t>
      </w:r>
      <w:r>
        <w:rPr>
          <w:rFonts w:hint="eastAsia" w:ascii="仿宋" w:hAnsi="仿宋" w:eastAsia="仿宋"/>
          <w:sz w:val="28"/>
          <w:szCs w:val="28"/>
          <w:lang w:val="en-US" w:eastAsia="zh-CN"/>
        </w:rPr>
        <w:t>53个，其中大队长1名(正科级)，教导员1名(正科级)，副大队长2名(副科级)。</w:t>
      </w:r>
      <w:r>
        <w:rPr>
          <w:rFonts w:hint="eastAsia" w:ascii="仿宋" w:hAnsi="仿宋" w:eastAsia="仿宋"/>
          <w:sz w:val="28"/>
          <w:szCs w:val="28"/>
          <w:lang w:eastAsia="zh-CN"/>
        </w:rPr>
        <w:t>内设：综合指导中队</w:t>
      </w:r>
      <w:r>
        <w:rPr>
          <w:rFonts w:hint="eastAsia" w:ascii="仿宋" w:hAnsi="仿宋" w:eastAsia="仿宋"/>
          <w:sz w:val="28"/>
          <w:szCs w:val="28"/>
          <w:lang w:val="en-US" w:eastAsia="zh-CN"/>
        </w:rPr>
        <w:t>(纪检监察室)、执法监督中队、事故处理中队、车辆管理所、科技和设施中队、公路巡逻一中队、公路巡逻二中队、一中队、二中队、三中队、四中队11个股室。</w:t>
      </w:r>
    </w:p>
    <w:p>
      <w:pPr>
        <w:shd w:val="clear" w:color="auto" w:fill="FFFFFF"/>
        <w:spacing w:line="360" w:lineRule="atLeast"/>
        <w:ind w:firstLine="560" w:firstLineChars="200"/>
        <w:rPr>
          <w:rFonts w:hint="eastAsia" w:ascii="仿宋" w:hAnsi="仿宋" w:eastAsia="仿宋"/>
          <w:color w:val="auto"/>
          <w:sz w:val="28"/>
          <w:szCs w:val="28"/>
          <w:lang w:eastAsia="zh-CN"/>
        </w:rPr>
      </w:pPr>
      <w:r>
        <w:rPr>
          <w:rFonts w:hint="eastAsia" w:ascii="仿宋" w:hAnsi="仿宋" w:eastAsia="仿宋"/>
          <w:sz w:val="28"/>
          <w:szCs w:val="28"/>
          <w:lang w:val="en-US" w:eastAsia="zh-CN"/>
        </w:rPr>
        <w:t>(</w:t>
      </w:r>
      <w:r>
        <w:rPr>
          <w:rFonts w:hint="eastAsia" w:ascii="仿宋" w:hAnsi="仿宋" w:eastAsia="仿宋"/>
          <w:sz w:val="28"/>
          <w:szCs w:val="28"/>
          <w:lang w:eastAsia="zh-CN"/>
        </w:rPr>
        <w:t>二</w:t>
      </w:r>
      <w:r>
        <w:rPr>
          <w:rFonts w:hint="eastAsia" w:ascii="仿宋" w:hAnsi="仿宋" w:eastAsia="仿宋"/>
          <w:sz w:val="28"/>
          <w:szCs w:val="28"/>
          <w:lang w:val="en-US" w:eastAsia="zh-CN"/>
        </w:rPr>
        <w:t>)</w:t>
      </w:r>
      <w:r>
        <w:rPr>
          <w:rFonts w:hint="eastAsia" w:ascii="仿宋" w:hAnsi="仿宋" w:eastAsia="仿宋"/>
          <w:color w:val="auto"/>
          <w:sz w:val="28"/>
          <w:szCs w:val="28"/>
        </w:rPr>
        <w:t>项目基本情况。纳入本次绩效评价的项目名称为南县公安局交通警察大队交通安全宣传</w:t>
      </w:r>
      <w:r>
        <w:rPr>
          <w:rFonts w:hint="eastAsia" w:ascii="仿宋" w:hAnsi="仿宋" w:eastAsia="仿宋"/>
          <w:color w:val="auto"/>
          <w:sz w:val="28"/>
          <w:szCs w:val="28"/>
          <w:lang w:eastAsia="zh-CN"/>
        </w:rPr>
        <w:t>专项，</w:t>
      </w:r>
      <w:r>
        <w:rPr>
          <w:rFonts w:hint="eastAsia" w:ascii="仿宋" w:hAnsi="仿宋" w:eastAsia="仿宋"/>
          <w:color w:val="auto"/>
          <w:sz w:val="28"/>
          <w:szCs w:val="28"/>
        </w:rPr>
        <w:t>交通管理的社会性、公益性、服务性较强，同人民群众的生产、生活密切相关。随着交通事业的发展和人民生活水平的不断提高，社会关注的交通安全热点问题越来越多，交通安全宣传的重要作用日益显现。能否充分发挥好交通安全宣传的积极作用，正确把握好、引导好宣传舆论导向，直接影响到交通发展的大政方针和各项具体措施的贯彻落实，影响到交通安全管理者的社会形象。大力加强新时期交通安全宣传工作，是促进交通管理的有效手段和途径，是沟通社会、展示形象、促进发展、赢得理解和支持的重要桥梁，是打造和谐交通、安全交通，构建和谐社会的桥梁和纽带。</w:t>
      </w:r>
      <w:r>
        <w:rPr>
          <w:rFonts w:hint="eastAsia" w:ascii="仿宋" w:hAnsi="仿宋" w:eastAsia="仿宋"/>
          <w:color w:val="auto"/>
          <w:sz w:val="28"/>
          <w:szCs w:val="28"/>
          <w:lang w:eastAsia="zh-CN"/>
        </w:rPr>
        <w:t>南县公安局交通警察大队为提高辖区居民遵章守法的自觉性，将交通安全宣传经费用于“五进”：进农村、进社区、进单位、进学校、进家庭的宣传教育、交通文明劝导、主题宣传教育与重点时段、重点对象宣传等在宣传资料、宣传展板、横幅、宣传标牌、车辆耗油与支付媒体支持的宣传费等方面。</w:t>
      </w:r>
    </w:p>
    <w:p>
      <w:pPr>
        <w:shd w:val="clear" w:color="auto" w:fill="FFFFFF"/>
        <w:spacing w:line="360" w:lineRule="atLeast"/>
        <w:ind w:firstLine="560" w:firstLineChars="200"/>
        <w:rPr>
          <w:rFonts w:hint="default" w:ascii="仿宋" w:hAnsi="仿宋" w:eastAsia="仿宋"/>
          <w:color w:val="0000FF"/>
          <w:sz w:val="28"/>
          <w:szCs w:val="28"/>
          <w:lang w:val="en-US" w:eastAsia="zh-CN"/>
        </w:rPr>
      </w:pPr>
      <w:r>
        <w:rPr>
          <w:rFonts w:hint="eastAsia" w:ascii="仿宋" w:hAnsi="仿宋" w:eastAsia="仿宋"/>
          <w:sz w:val="28"/>
          <w:szCs w:val="28"/>
          <w:lang w:val="en-US" w:eastAsia="zh-CN"/>
        </w:rPr>
        <w:t>(三)</w:t>
      </w:r>
      <w:r>
        <w:rPr>
          <w:rFonts w:hint="eastAsia" w:ascii="仿宋" w:hAnsi="仿宋" w:eastAsia="仿宋"/>
          <w:color w:val="auto"/>
          <w:sz w:val="28"/>
          <w:szCs w:val="28"/>
        </w:rPr>
        <w:t>项目</w:t>
      </w:r>
      <w:r>
        <w:rPr>
          <w:rFonts w:hint="eastAsia" w:ascii="仿宋" w:hAnsi="仿宋" w:eastAsia="仿宋"/>
          <w:color w:val="auto"/>
          <w:sz w:val="28"/>
          <w:szCs w:val="28"/>
          <w:lang w:eastAsia="zh-CN"/>
        </w:rPr>
        <w:t>绩效目标完成情况</w:t>
      </w:r>
      <w:r>
        <w:rPr>
          <w:rFonts w:hint="eastAsia" w:ascii="仿宋" w:hAnsi="仿宋" w:eastAsia="仿宋"/>
          <w:color w:val="auto"/>
          <w:sz w:val="28"/>
          <w:szCs w:val="28"/>
          <w:lang w:val="en-US" w:eastAsia="zh-CN"/>
        </w:rPr>
        <w:t>。2018年，大队共出动宣传警力950多人次、出动宣传车辆98台次、悬挂宣传横幅350条、粘贴宣传标志标语12180条，发放宣传图册14000余份，宣传彩页60000余张，通过“双微”平台推送信息800多条、面对面教育交通参与都20000多人次，在县电台、电视台开辟了专栏进行常年性宣传，在省市媒体上上稿80作篇，全年大队的宣传工作获全市交警系统政治建警宣传工作第一名，2018年大队主动向县纪委、监委汇报，移送党员干部酒驾交通违法案件30余起，并开成了党员干部严重交通违法行为甄别移送机制。</w:t>
      </w:r>
    </w:p>
    <w:p>
      <w:pPr>
        <w:ind w:firstLine="643" w:firstLineChars="200"/>
        <w:rPr>
          <w:rFonts w:asciiTheme="majorEastAsia" w:hAnsiTheme="majorEastAsia" w:eastAsiaTheme="majorEastAsia"/>
          <w:b/>
          <w:sz w:val="32"/>
          <w:szCs w:val="32"/>
        </w:rPr>
      </w:pPr>
      <w:r>
        <w:rPr>
          <w:rFonts w:hint="eastAsia" w:asciiTheme="majorEastAsia" w:hAnsiTheme="majorEastAsia" w:eastAsiaTheme="majorEastAsia"/>
          <w:b/>
          <w:sz w:val="32"/>
          <w:szCs w:val="32"/>
        </w:rPr>
        <w:t>二、项目资金使用及管理情况</w:t>
      </w:r>
    </w:p>
    <w:p>
      <w:pPr>
        <w:shd w:val="clear" w:color="auto" w:fill="FFFFFF"/>
        <w:spacing w:line="360" w:lineRule="atLeast"/>
        <w:ind w:firstLine="560" w:firstLineChars="200"/>
        <w:rPr>
          <w:rFonts w:hint="eastAsia" w:ascii="仿宋" w:hAnsi="仿宋" w:eastAsia="仿宋"/>
          <w:sz w:val="28"/>
          <w:szCs w:val="28"/>
          <w:lang w:val="en-US" w:eastAsia="zh-CN"/>
        </w:rPr>
      </w:pPr>
      <w:r>
        <w:rPr>
          <w:rFonts w:hint="eastAsia" w:ascii="仿宋" w:hAnsi="仿宋" w:eastAsia="仿宋"/>
          <w:sz w:val="28"/>
          <w:szCs w:val="28"/>
          <w:lang w:val="en-US" w:eastAsia="zh-CN"/>
        </w:rPr>
        <w:t>(</w:t>
      </w:r>
      <w:r>
        <w:rPr>
          <w:rFonts w:hint="eastAsia" w:ascii="仿宋" w:hAnsi="仿宋" w:eastAsia="仿宋"/>
          <w:sz w:val="28"/>
          <w:szCs w:val="28"/>
        </w:rPr>
        <w:t>一</w:t>
      </w:r>
      <w:r>
        <w:rPr>
          <w:rFonts w:hint="eastAsia" w:ascii="仿宋" w:hAnsi="仿宋" w:eastAsia="仿宋"/>
          <w:sz w:val="28"/>
          <w:szCs w:val="28"/>
          <w:lang w:val="en-US" w:eastAsia="zh-CN"/>
        </w:rPr>
        <w:t>)</w:t>
      </w:r>
      <w:r>
        <w:rPr>
          <w:rFonts w:hint="eastAsia" w:ascii="仿宋" w:hAnsi="仿宋" w:eastAsia="仿宋"/>
          <w:sz w:val="28"/>
          <w:szCs w:val="28"/>
        </w:rPr>
        <w:t>项目资金到位</w:t>
      </w:r>
      <w:r>
        <w:rPr>
          <w:rFonts w:hint="eastAsia" w:ascii="仿宋" w:hAnsi="仿宋" w:eastAsia="仿宋"/>
          <w:sz w:val="28"/>
          <w:szCs w:val="28"/>
          <w:lang w:eastAsia="zh-CN"/>
        </w:rPr>
        <w:t>及使用</w:t>
      </w:r>
      <w:r>
        <w:rPr>
          <w:rFonts w:hint="eastAsia" w:ascii="仿宋" w:hAnsi="仿宋" w:eastAsia="仿宋"/>
          <w:sz w:val="28"/>
          <w:szCs w:val="28"/>
        </w:rPr>
        <w:t>情况。</w:t>
      </w:r>
      <w:r>
        <w:rPr>
          <w:rFonts w:hint="eastAsia" w:ascii="仿宋" w:hAnsi="仿宋" w:eastAsia="仿宋"/>
          <w:sz w:val="28"/>
          <w:szCs w:val="28"/>
          <w:lang w:eastAsia="zh-CN"/>
        </w:rPr>
        <w:t>南县公安局交通警察大队</w:t>
      </w:r>
      <w:r>
        <w:rPr>
          <w:rFonts w:hint="eastAsia" w:ascii="仿宋" w:hAnsi="仿宋" w:eastAsia="仿宋"/>
          <w:sz w:val="28"/>
          <w:szCs w:val="28"/>
          <w:lang w:val="en-US" w:eastAsia="zh-CN"/>
        </w:rPr>
        <w:t>2018年县本级预算安排交通安全宣传专项费用300,000.00元，实际使用306,808.00元，较预算支出超支6,808.00元，资金使用率为100.84%，资金由财政部门按南县公安局交通警察大队提出申请后下拨的方式分批拨付，至年底预算金额资金已全部下拨，下拨率100%，财务拨款明细如下：</w:t>
      </w:r>
    </w:p>
    <w:tbl>
      <w:tblPr>
        <w:tblStyle w:val="3"/>
        <w:tblW w:w="8323" w:type="dxa"/>
        <w:tblInd w:w="0" w:type="dxa"/>
        <w:shd w:val="clear" w:color="auto" w:fill="auto"/>
        <w:tblLayout w:type="fixed"/>
        <w:tblCellMar>
          <w:top w:w="0" w:type="dxa"/>
          <w:left w:w="0" w:type="dxa"/>
          <w:bottom w:w="0" w:type="dxa"/>
          <w:right w:w="0" w:type="dxa"/>
        </w:tblCellMar>
      </w:tblPr>
      <w:tblGrid>
        <w:gridCol w:w="1048"/>
        <w:gridCol w:w="2340"/>
        <w:gridCol w:w="1680"/>
        <w:gridCol w:w="1605"/>
        <w:gridCol w:w="1650"/>
      </w:tblGrid>
      <w:tr>
        <w:tblPrEx>
          <w:shd w:val="clear" w:color="auto" w:fill="auto"/>
          <w:tblLayout w:type="fixed"/>
          <w:tblCellMar>
            <w:top w:w="0" w:type="dxa"/>
            <w:left w:w="0" w:type="dxa"/>
            <w:bottom w:w="0" w:type="dxa"/>
            <w:right w:w="0" w:type="dxa"/>
          </w:tblCellMar>
        </w:tblPrEx>
        <w:trPr>
          <w:trHeight w:val="360" w:hRule="atLeast"/>
        </w:trPr>
        <w:tc>
          <w:tcPr>
            <w:tcW w:w="104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序号</w:t>
            </w:r>
          </w:p>
        </w:tc>
        <w:tc>
          <w:tcPr>
            <w:tcW w:w="234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开支项目</w:t>
            </w:r>
          </w:p>
        </w:tc>
        <w:tc>
          <w:tcPr>
            <w:tcW w:w="16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使用金额</w:t>
            </w:r>
          </w:p>
        </w:tc>
        <w:tc>
          <w:tcPr>
            <w:tcW w:w="16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使用资金总额</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占使用资金比例</w:t>
            </w:r>
          </w:p>
        </w:tc>
      </w:tr>
      <w:tr>
        <w:tblPrEx>
          <w:tblLayout w:type="fixed"/>
          <w:tblCellMar>
            <w:top w:w="0" w:type="dxa"/>
            <w:left w:w="0" w:type="dxa"/>
            <w:bottom w:w="0" w:type="dxa"/>
            <w:right w:w="0" w:type="dxa"/>
          </w:tblCellMar>
        </w:tblPrEx>
        <w:trPr>
          <w:trHeight w:val="360" w:hRule="atLeast"/>
        </w:trPr>
        <w:tc>
          <w:tcPr>
            <w:tcW w:w="104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234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办公费</w:t>
            </w:r>
          </w:p>
        </w:tc>
        <w:tc>
          <w:tcPr>
            <w:tcW w:w="16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2,500.00 </w:t>
            </w:r>
          </w:p>
        </w:tc>
        <w:tc>
          <w:tcPr>
            <w:tcW w:w="1605"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306,808.00 </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0.81%</w:t>
            </w:r>
          </w:p>
        </w:tc>
      </w:tr>
      <w:tr>
        <w:tblPrEx>
          <w:tblLayout w:type="fixed"/>
          <w:tblCellMar>
            <w:top w:w="0" w:type="dxa"/>
            <w:left w:w="0" w:type="dxa"/>
            <w:bottom w:w="0" w:type="dxa"/>
            <w:right w:w="0" w:type="dxa"/>
          </w:tblCellMar>
        </w:tblPrEx>
        <w:trPr>
          <w:trHeight w:val="360" w:hRule="atLeast"/>
        </w:trPr>
        <w:tc>
          <w:tcPr>
            <w:tcW w:w="104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234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差旅费</w:t>
            </w:r>
          </w:p>
        </w:tc>
        <w:tc>
          <w:tcPr>
            <w:tcW w:w="16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10,880.00 </w:t>
            </w:r>
          </w:p>
        </w:tc>
        <w:tc>
          <w:tcPr>
            <w:tcW w:w="1605"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3.55%</w:t>
            </w:r>
          </w:p>
        </w:tc>
      </w:tr>
      <w:tr>
        <w:tblPrEx>
          <w:tblLayout w:type="fixed"/>
          <w:tblCellMar>
            <w:top w:w="0" w:type="dxa"/>
            <w:left w:w="0" w:type="dxa"/>
            <w:bottom w:w="0" w:type="dxa"/>
            <w:right w:w="0" w:type="dxa"/>
          </w:tblCellMar>
        </w:tblPrEx>
        <w:trPr>
          <w:trHeight w:val="360" w:hRule="atLeast"/>
        </w:trPr>
        <w:tc>
          <w:tcPr>
            <w:tcW w:w="104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c>
          <w:tcPr>
            <w:tcW w:w="234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燃料费</w:t>
            </w:r>
          </w:p>
        </w:tc>
        <w:tc>
          <w:tcPr>
            <w:tcW w:w="16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91,100.00 </w:t>
            </w:r>
          </w:p>
        </w:tc>
        <w:tc>
          <w:tcPr>
            <w:tcW w:w="1605"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29.69%</w:t>
            </w:r>
          </w:p>
        </w:tc>
      </w:tr>
      <w:tr>
        <w:tblPrEx>
          <w:tblLayout w:type="fixed"/>
          <w:tblCellMar>
            <w:top w:w="0" w:type="dxa"/>
            <w:left w:w="0" w:type="dxa"/>
            <w:bottom w:w="0" w:type="dxa"/>
            <w:right w:w="0" w:type="dxa"/>
          </w:tblCellMar>
        </w:tblPrEx>
        <w:trPr>
          <w:trHeight w:val="360" w:hRule="atLeast"/>
        </w:trPr>
        <w:tc>
          <w:tcPr>
            <w:tcW w:w="104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w:t>
            </w:r>
          </w:p>
        </w:tc>
        <w:tc>
          <w:tcPr>
            <w:tcW w:w="234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维修费</w:t>
            </w:r>
          </w:p>
        </w:tc>
        <w:tc>
          <w:tcPr>
            <w:tcW w:w="16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31,000.00 </w:t>
            </w:r>
          </w:p>
        </w:tc>
        <w:tc>
          <w:tcPr>
            <w:tcW w:w="1605"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10.10%</w:t>
            </w:r>
          </w:p>
        </w:tc>
      </w:tr>
      <w:tr>
        <w:tblPrEx>
          <w:tblLayout w:type="fixed"/>
          <w:tblCellMar>
            <w:top w:w="0" w:type="dxa"/>
            <w:left w:w="0" w:type="dxa"/>
            <w:bottom w:w="0" w:type="dxa"/>
            <w:right w:w="0" w:type="dxa"/>
          </w:tblCellMar>
        </w:tblPrEx>
        <w:trPr>
          <w:trHeight w:val="360" w:hRule="atLeast"/>
        </w:trPr>
        <w:tc>
          <w:tcPr>
            <w:tcW w:w="104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c>
          <w:tcPr>
            <w:tcW w:w="234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伙食费</w:t>
            </w:r>
          </w:p>
        </w:tc>
        <w:tc>
          <w:tcPr>
            <w:tcW w:w="16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12,106.00 </w:t>
            </w:r>
          </w:p>
        </w:tc>
        <w:tc>
          <w:tcPr>
            <w:tcW w:w="1605"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3.95%</w:t>
            </w:r>
          </w:p>
        </w:tc>
      </w:tr>
      <w:tr>
        <w:tblPrEx>
          <w:tblLayout w:type="fixed"/>
          <w:tblCellMar>
            <w:top w:w="0" w:type="dxa"/>
            <w:left w:w="0" w:type="dxa"/>
            <w:bottom w:w="0" w:type="dxa"/>
            <w:right w:w="0" w:type="dxa"/>
          </w:tblCellMar>
        </w:tblPrEx>
        <w:trPr>
          <w:trHeight w:val="360" w:hRule="atLeast"/>
        </w:trPr>
        <w:tc>
          <w:tcPr>
            <w:tcW w:w="104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w:t>
            </w:r>
          </w:p>
        </w:tc>
        <w:tc>
          <w:tcPr>
            <w:tcW w:w="234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其他商品和服务支出</w:t>
            </w:r>
          </w:p>
        </w:tc>
        <w:tc>
          <w:tcPr>
            <w:tcW w:w="16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40,586.00 </w:t>
            </w:r>
          </w:p>
        </w:tc>
        <w:tc>
          <w:tcPr>
            <w:tcW w:w="1605"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13.23%</w:t>
            </w:r>
          </w:p>
        </w:tc>
      </w:tr>
      <w:tr>
        <w:tblPrEx>
          <w:tblLayout w:type="fixed"/>
          <w:tblCellMar>
            <w:top w:w="0" w:type="dxa"/>
            <w:left w:w="0" w:type="dxa"/>
            <w:bottom w:w="0" w:type="dxa"/>
            <w:right w:w="0" w:type="dxa"/>
          </w:tblCellMar>
        </w:tblPrEx>
        <w:trPr>
          <w:trHeight w:val="360" w:hRule="atLeast"/>
        </w:trPr>
        <w:tc>
          <w:tcPr>
            <w:tcW w:w="104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w:t>
            </w:r>
          </w:p>
        </w:tc>
        <w:tc>
          <w:tcPr>
            <w:tcW w:w="234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水费</w:t>
            </w:r>
          </w:p>
        </w:tc>
        <w:tc>
          <w:tcPr>
            <w:tcW w:w="16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2,500.00 </w:t>
            </w:r>
          </w:p>
        </w:tc>
        <w:tc>
          <w:tcPr>
            <w:tcW w:w="1605"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0.81%</w:t>
            </w:r>
          </w:p>
        </w:tc>
      </w:tr>
      <w:tr>
        <w:tblPrEx>
          <w:tblLayout w:type="fixed"/>
          <w:tblCellMar>
            <w:top w:w="0" w:type="dxa"/>
            <w:left w:w="0" w:type="dxa"/>
            <w:bottom w:w="0" w:type="dxa"/>
            <w:right w:w="0" w:type="dxa"/>
          </w:tblCellMar>
        </w:tblPrEx>
        <w:trPr>
          <w:trHeight w:val="360" w:hRule="atLeast"/>
        </w:trPr>
        <w:tc>
          <w:tcPr>
            <w:tcW w:w="104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w:t>
            </w:r>
          </w:p>
        </w:tc>
        <w:tc>
          <w:tcPr>
            <w:tcW w:w="234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印刷费</w:t>
            </w:r>
          </w:p>
        </w:tc>
        <w:tc>
          <w:tcPr>
            <w:tcW w:w="16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109,736.00 </w:t>
            </w:r>
          </w:p>
        </w:tc>
        <w:tc>
          <w:tcPr>
            <w:tcW w:w="1605"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35.77%</w:t>
            </w:r>
          </w:p>
        </w:tc>
      </w:tr>
      <w:tr>
        <w:tblPrEx>
          <w:tblLayout w:type="fixed"/>
          <w:tblCellMar>
            <w:top w:w="0" w:type="dxa"/>
            <w:left w:w="0" w:type="dxa"/>
            <w:bottom w:w="0" w:type="dxa"/>
            <w:right w:w="0" w:type="dxa"/>
          </w:tblCellMar>
        </w:tblPrEx>
        <w:trPr>
          <w:trHeight w:val="360" w:hRule="atLeast"/>
        </w:trPr>
        <w:tc>
          <w:tcPr>
            <w:tcW w:w="104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w:t>
            </w:r>
          </w:p>
        </w:tc>
        <w:tc>
          <w:tcPr>
            <w:tcW w:w="234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委托业务费</w:t>
            </w:r>
          </w:p>
        </w:tc>
        <w:tc>
          <w:tcPr>
            <w:tcW w:w="16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6,400.00 </w:t>
            </w:r>
          </w:p>
        </w:tc>
        <w:tc>
          <w:tcPr>
            <w:tcW w:w="1605"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2.09%</w:t>
            </w:r>
          </w:p>
        </w:tc>
      </w:tr>
      <w:tr>
        <w:tblPrEx>
          <w:tblLayout w:type="fixed"/>
          <w:tblCellMar>
            <w:top w:w="0" w:type="dxa"/>
            <w:left w:w="0" w:type="dxa"/>
            <w:bottom w:w="0" w:type="dxa"/>
            <w:right w:w="0" w:type="dxa"/>
          </w:tblCellMar>
        </w:tblPrEx>
        <w:trPr>
          <w:trHeight w:val="360" w:hRule="atLeast"/>
        </w:trPr>
        <w:tc>
          <w:tcPr>
            <w:tcW w:w="104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234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合计</w:t>
            </w:r>
          </w:p>
        </w:tc>
        <w:tc>
          <w:tcPr>
            <w:tcW w:w="16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306,808.00 </w:t>
            </w:r>
          </w:p>
        </w:tc>
        <w:tc>
          <w:tcPr>
            <w:tcW w:w="16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306,808.00 </w:t>
            </w:r>
          </w:p>
        </w:tc>
      </w:tr>
    </w:tbl>
    <w:p>
      <w:pPr>
        <w:ind w:firstLine="560" w:firstLineChars="200"/>
        <w:rPr>
          <w:rFonts w:hint="eastAsia" w:ascii="仿宋" w:hAnsi="仿宋" w:eastAsia="仿宋"/>
          <w:sz w:val="28"/>
          <w:szCs w:val="28"/>
          <w:lang w:eastAsia="zh-CN"/>
        </w:rPr>
      </w:pPr>
      <w:r>
        <w:rPr>
          <w:rFonts w:hint="eastAsia" w:ascii="仿宋" w:hAnsi="仿宋" w:eastAsia="仿宋"/>
          <w:sz w:val="28"/>
          <w:szCs w:val="28"/>
          <w:lang w:val="en-US" w:eastAsia="zh-CN"/>
        </w:rPr>
        <w:t>(</w:t>
      </w:r>
      <w:r>
        <w:rPr>
          <w:rFonts w:hint="eastAsia" w:ascii="仿宋" w:hAnsi="仿宋" w:eastAsia="仿宋"/>
          <w:sz w:val="28"/>
          <w:szCs w:val="28"/>
          <w:lang w:eastAsia="zh-CN"/>
        </w:rPr>
        <w:t>二</w:t>
      </w:r>
      <w:r>
        <w:rPr>
          <w:rFonts w:hint="eastAsia" w:ascii="仿宋" w:hAnsi="仿宋" w:eastAsia="仿宋"/>
          <w:sz w:val="28"/>
          <w:szCs w:val="28"/>
          <w:lang w:val="en-US" w:eastAsia="zh-CN"/>
        </w:rPr>
        <w:t>)</w:t>
      </w:r>
      <w:r>
        <w:rPr>
          <w:rFonts w:hint="eastAsia" w:ascii="仿宋" w:hAnsi="仿宋" w:eastAsia="仿宋"/>
          <w:sz w:val="28"/>
          <w:szCs w:val="28"/>
        </w:rPr>
        <w:t>项目资金管理情况。项目资金由</w:t>
      </w:r>
      <w:r>
        <w:rPr>
          <w:rFonts w:hint="eastAsia" w:ascii="仿宋" w:hAnsi="仿宋" w:eastAsia="仿宋"/>
          <w:sz w:val="28"/>
          <w:szCs w:val="28"/>
          <w:lang w:eastAsia="zh-CN"/>
        </w:rPr>
        <w:t>南县公安局交通警察大队向南县财政局申请拨款，再由南县</w:t>
      </w:r>
      <w:r>
        <w:rPr>
          <w:rFonts w:hint="eastAsia" w:ascii="仿宋" w:hAnsi="仿宋" w:eastAsia="仿宋"/>
          <w:sz w:val="28"/>
          <w:szCs w:val="28"/>
        </w:rPr>
        <w:t>财政局</w:t>
      </w:r>
      <w:r>
        <w:rPr>
          <w:rFonts w:hint="eastAsia" w:ascii="仿宋" w:hAnsi="仿宋" w:eastAsia="仿宋"/>
          <w:sz w:val="28"/>
          <w:szCs w:val="28"/>
          <w:lang w:eastAsia="zh-CN"/>
        </w:rPr>
        <w:t>国库中心</w:t>
      </w:r>
      <w:r>
        <w:rPr>
          <w:rFonts w:hint="eastAsia" w:ascii="仿宋" w:hAnsi="仿宋" w:eastAsia="仿宋"/>
          <w:sz w:val="28"/>
          <w:szCs w:val="28"/>
        </w:rPr>
        <w:t>拨付到</w:t>
      </w:r>
      <w:r>
        <w:rPr>
          <w:rFonts w:hint="eastAsia" w:ascii="仿宋" w:hAnsi="仿宋" w:eastAsia="仿宋"/>
          <w:sz w:val="28"/>
          <w:szCs w:val="28"/>
          <w:lang w:eastAsia="zh-CN"/>
        </w:rPr>
        <w:t>相关单位，费用报销程序基本合规，资金管理到位</w:t>
      </w:r>
      <w:r>
        <w:rPr>
          <w:rFonts w:hint="eastAsia" w:ascii="仿宋" w:hAnsi="仿宋" w:eastAsia="仿宋"/>
          <w:sz w:val="28"/>
          <w:szCs w:val="28"/>
        </w:rPr>
        <w:t>。</w:t>
      </w:r>
    </w:p>
    <w:p>
      <w:pPr>
        <w:ind w:firstLine="480"/>
        <w:rPr>
          <w:rFonts w:asciiTheme="majorEastAsia" w:hAnsiTheme="majorEastAsia" w:eastAsiaTheme="majorEastAsia"/>
          <w:b/>
          <w:sz w:val="32"/>
          <w:szCs w:val="32"/>
        </w:rPr>
      </w:pPr>
      <w:r>
        <w:rPr>
          <w:rFonts w:hint="eastAsia" w:asciiTheme="majorEastAsia" w:hAnsiTheme="majorEastAsia" w:eastAsiaTheme="majorEastAsia"/>
          <w:b/>
          <w:sz w:val="32"/>
          <w:szCs w:val="32"/>
        </w:rPr>
        <w:t>三、项目组织实施情况</w:t>
      </w:r>
    </w:p>
    <w:p>
      <w:pPr>
        <w:ind w:firstLine="480"/>
        <w:rPr>
          <w:rFonts w:hint="eastAsia" w:ascii="仿宋" w:hAnsi="仿宋" w:eastAsia="仿宋"/>
          <w:sz w:val="28"/>
          <w:szCs w:val="28"/>
        </w:rPr>
      </w:pPr>
      <w:r>
        <w:rPr>
          <w:rFonts w:hint="eastAsia" w:ascii="仿宋" w:hAnsi="仿宋" w:eastAsia="仿宋"/>
          <w:sz w:val="28"/>
          <w:szCs w:val="28"/>
        </w:rPr>
        <w:t xml:space="preserve"> </w:t>
      </w:r>
      <w:r>
        <w:rPr>
          <w:rFonts w:hint="eastAsia" w:ascii="仿宋" w:hAnsi="仿宋" w:eastAsia="仿宋"/>
          <w:sz w:val="28"/>
          <w:szCs w:val="28"/>
          <w:lang w:val="en-US" w:eastAsia="zh-CN"/>
        </w:rPr>
        <w:t>(</w:t>
      </w:r>
      <w:r>
        <w:rPr>
          <w:rFonts w:hint="eastAsia" w:ascii="仿宋" w:hAnsi="仿宋" w:eastAsia="仿宋"/>
          <w:sz w:val="28"/>
          <w:szCs w:val="28"/>
        </w:rPr>
        <w:t>一</w:t>
      </w:r>
      <w:r>
        <w:rPr>
          <w:rFonts w:hint="eastAsia" w:ascii="仿宋" w:hAnsi="仿宋" w:eastAsia="仿宋"/>
          <w:sz w:val="28"/>
          <w:szCs w:val="28"/>
          <w:lang w:val="en-US" w:eastAsia="zh-CN"/>
        </w:rPr>
        <w:t>)</w:t>
      </w:r>
      <w:r>
        <w:rPr>
          <w:rFonts w:hint="eastAsia" w:ascii="仿宋" w:hAnsi="仿宋" w:eastAsia="仿宋"/>
          <w:sz w:val="28"/>
          <w:szCs w:val="28"/>
        </w:rPr>
        <w:t>制度建设情况。为进一步规范财政资金管理，强化财政资金支出绩效理念，切实提高财政资金使用效益，南县公安局交通警察大队成立了</w:t>
      </w:r>
      <w:r>
        <w:rPr>
          <w:rFonts w:hint="eastAsia" w:ascii="仿宋" w:hAnsi="仿宋" w:eastAsia="仿宋"/>
          <w:sz w:val="28"/>
          <w:szCs w:val="28"/>
          <w:lang w:eastAsia="zh-CN"/>
        </w:rPr>
        <w:t>专项资金</w:t>
      </w:r>
      <w:r>
        <w:rPr>
          <w:rFonts w:hint="eastAsia" w:ascii="仿宋" w:hAnsi="仿宋" w:eastAsia="仿宋"/>
          <w:sz w:val="28"/>
          <w:szCs w:val="28"/>
        </w:rPr>
        <w:t>管理</w:t>
      </w:r>
      <w:r>
        <w:rPr>
          <w:rFonts w:hint="eastAsia" w:ascii="仿宋" w:hAnsi="仿宋" w:eastAsia="仿宋"/>
          <w:sz w:val="28"/>
          <w:szCs w:val="28"/>
          <w:lang w:eastAsia="zh-CN"/>
        </w:rPr>
        <w:t>领导</w:t>
      </w:r>
      <w:r>
        <w:rPr>
          <w:rFonts w:hint="eastAsia" w:ascii="仿宋" w:hAnsi="仿宋" w:eastAsia="仿宋"/>
          <w:sz w:val="28"/>
          <w:szCs w:val="28"/>
        </w:rPr>
        <w:t>工作领导小组；制订了</w:t>
      </w:r>
      <w:r>
        <w:rPr>
          <w:rFonts w:hint="eastAsia" w:ascii="仿宋" w:hAnsi="仿宋" w:eastAsia="仿宋"/>
          <w:sz w:val="28"/>
          <w:szCs w:val="28"/>
          <w:lang w:eastAsia="zh-CN"/>
        </w:rPr>
        <w:t>《南县公安局交通警察大队财务管理制度》，</w:t>
      </w:r>
      <w:r>
        <w:rPr>
          <w:rFonts w:hint="eastAsia" w:ascii="仿宋" w:hAnsi="仿宋" w:eastAsia="仿宋"/>
          <w:sz w:val="28"/>
          <w:szCs w:val="28"/>
        </w:rPr>
        <w:t>要求认真执行各项财经法规，发扬厉行节约，艰苦奋斗的传统，充分发挥公安交警经费和上级转移支付资金的最大使用效益，确保大队各项工作正常运转，提高财政资金使用效益。</w:t>
      </w:r>
    </w:p>
    <w:p>
      <w:pPr>
        <w:ind w:firstLine="480"/>
        <w:rPr>
          <w:rFonts w:hint="eastAsia" w:ascii="仿宋" w:hAnsi="仿宋" w:eastAsia="仿宋"/>
          <w:sz w:val="28"/>
          <w:szCs w:val="28"/>
          <w:lang w:val="en-US" w:eastAsia="zh-CN"/>
        </w:rPr>
      </w:pPr>
      <w:r>
        <w:rPr>
          <w:rFonts w:hint="eastAsia" w:ascii="仿宋" w:hAnsi="仿宋" w:eastAsia="仿宋"/>
          <w:sz w:val="28"/>
          <w:szCs w:val="28"/>
        </w:rPr>
        <w:t xml:space="preserve"> </w:t>
      </w:r>
      <w:r>
        <w:rPr>
          <w:rFonts w:hint="eastAsia" w:ascii="仿宋" w:hAnsi="仿宋" w:eastAsia="仿宋"/>
          <w:sz w:val="28"/>
          <w:szCs w:val="28"/>
          <w:lang w:val="en-US" w:eastAsia="zh-CN"/>
        </w:rPr>
        <w:t>(二)</w:t>
      </w:r>
      <w:r>
        <w:rPr>
          <w:rFonts w:hint="eastAsia" w:ascii="仿宋" w:hAnsi="仿宋" w:eastAsia="仿宋"/>
          <w:sz w:val="28"/>
          <w:szCs w:val="28"/>
        </w:rPr>
        <w:t>项目实施情况。该项目组织实施程序基本合规</w:t>
      </w:r>
      <w:r>
        <w:rPr>
          <w:rFonts w:hint="eastAsia" w:ascii="仿宋" w:hAnsi="仿宋" w:eastAsia="仿宋"/>
          <w:sz w:val="28"/>
          <w:szCs w:val="28"/>
          <w:lang w:eastAsia="zh-CN"/>
        </w:rPr>
        <w:t>，</w:t>
      </w:r>
      <w:r>
        <w:rPr>
          <w:rFonts w:hint="eastAsia" w:ascii="仿宋" w:hAnsi="仿宋" w:eastAsia="仿宋"/>
          <w:sz w:val="28"/>
          <w:szCs w:val="28"/>
          <w:lang w:val="en-US" w:eastAsia="zh-CN"/>
        </w:rPr>
        <w:t>2018年南县大队分别对医疗车队、行政执法车队、校车、客运车辆等车队人员共计组织实施开展了安全活动六次，情况如下：</w:t>
      </w:r>
    </w:p>
    <w:p>
      <w:pPr>
        <w:ind w:firstLine="480"/>
        <w:rPr>
          <w:rFonts w:hint="eastAsia" w:ascii="仿宋" w:hAnsi="仿宋" w:eastAsia="仿宋"/>
          <w:sz w:val="28"/>
          <w:szCs w:val="28"/>
          <w:lang w:val="en-US" w:eastAsia="zh-CN"/>
        </w:rPr>
      </w:pPr>
      <w:r>
        <w:rPr>
          <w:rFonts w:hint="eastAsia" w:ascii="仿宋" w:hAnsi="仿宋" w:eastAsia="仿宋"/>
          <w:sz w:val="28"/>
          <w:szCs w:val="28"/>
        </w:rPr>
        <w:t>一</w:t>
      </w:r>
      <w:r>
        <w:rPr>
          <w:rFonts w:hint="eastAsia" w:ascii="仿宋" w:hAnsi="仿宋" w:eastAsia="仿宋"/>
          <w:sz w:val="28"/>
          <w:szCs w:val="28"/>
          <w:lang w:eastAsia="zh-CN"/>
        </w:rPr>
        <w:t>是</w:t>
      </w:r>
      <w:r>
        <w:rPr>
          <w:rFonts w:hint="eastAsia" w:ascii="仿宋" w:hAnsi="仿宋" w:eastAsia="仿宋"/>
          <w:sz w:val="28"/>
          <w:szCs w:val="28"/>
          <w:lang w:val="en-US" w:eastAsia="zh-CN"/>
        </w:rPr>
        <w:t>2018年7月6月南县大队联合县医疗急救指挥中心在县卫计局开展救护车交通安全培训，从交通安全法规知识、行车文明礼仪及重点交通违法行为的危害和预防三大块进行了全面、深刻的阐述，进一步提高救护车驾驶员的行驶技能、提升安全意识，确保急救工作顺利开展；</w:t>
      </w:r>
    </w:p>
    <w:p>
      <w:pPr>
        <w:ind w:firstLine="480"/>
        <w:rPr>
          <w:rFonts w:hint="eastAsia" w:ascii="仿宋" w:hAnsi="仿宋" w:eastAsia="仿宋"/>
          <w:sz w:val="28"/>
          <w:szCs w:val="28"/>
          <w:lang w:val="en-US" w:eastAsia="zh-CN"/>
        </w:rPr>
      </w:pPr>
      <w:r>
        <w:rPr>
          <w:rFonts w:hint="eastAsia" w:ascii="仿宋" w:hAnsi="仿宋" w:eastAsia="仿宋"/>
          <w:sz w:val="28"/>
          <w:szCs w:val="28"/>
          <w:lang w:val="en-US" w:eastAsia="zh-CN"/>
        </w:rPr>
        <w:t>二是2018年8月南县大队开展行政执法交通安全知识培训，进一步增加职工车辆安全意识，提高实际应对突发事件能力和执法用车管理水平；</w:t>
      </w:r>
    </w:p>
    <w:p>
      <w:pPr>
        <w:ind w:firstLine="480"/>
        <w:rPr>
          <w:rFonts w:hint="eastAsia" w:ascii="仿宋" w:hAnsi="仿宋" w:eastAsia="仿宋"/>
          <w:sz w:val="28"/>
          <w:szCs w:val="28"/>
          <w:lang w:val="en-US" w:eastAsia="zh-CN"/>
        </w:rPr>
      </w:pPr>
      <w:r>
        <w:rPr>
          <w:rFonts w:hint="eastAsia" w:ascii="仿宋" w:hAnsi="仿宋" w:eastAsia="仿宋"/>
          <w:sz w:val="28"/>
          <w:szCs w:val="28"/>
          <w:lang w:val="en-US" w:eastAsia="zh-CN"/>
        </w:rPr>
        <w:t>三是2018年9月26日为切实加强校车安全管理，确保广大中小学生及幼儿交通安全，南县大队招开校车运营公司负责人会议，要求各校车公司对校车驾驶人和校车标牌进行清理，确保校车合法经营、强化日常安全管理，认真落实照管人员照管制度、并要求各校车公司落实好校车安全管理主体责任，与驾驶人及照管员签订安全责任书，使安全责任真正落到实处；</w:t>
      </w:r>
    </w:p>
    <w:p>
      <w:pPr>
        <w:ind w:firstLine="480"/>
        <w:rPr>
          <w:rFonts w:hint="eastAsia" w:ascii="仿宋" w:hAnsi="仿宋" w:eastAsia="仿宋"/>
          <w:sz w:val="28"/>
          <w:szCs w:val="28"/>
          <w:lang w:val="en-US" w:eastAsia="zh-CN"/>
        </w:rPr>
      </w:pPr>
      <w:r>
        <w:rPr>
          <w:rFonts w:hint="eastAsia" w:ascii="仿宋" w:hAnsi="仿宋" w:eastAsia="仿宋"/>
          <w:sz w:val="28"/>
          <w:szCs w:val="28"/>
          <w:lang w:val="en-US" w:eastAsia="zh-CN"/>
        </w:rPr>
        <w:t>四是为加强客运车辆安全监管力度，预防和减少重特大道路交通事故，2018年10月南县大队深入益阳市神舟汽车运输有限公司与南县兴盛汽车站有限公司，组织相关工作人员召开了平安交通百日行动会议，着重宣贯“百日会战”相关精神与要求：要牢固树立客运企业的主体责任意识，认真落实各项安全管理制度，加强对驾驶人及车主的安全培训工作，提高客运驾驶人交通安全意识、要合理安排客运班次，坚决抵制酒后驾驶、超速行驶、疲劳驾驶、超员超载等严重交通违法行为、强化客运车辆管理，要对车辆进行定期保养和技术检查，严把车辆进、出站关，坚决杜绝“病车”上路行驶；</w:t>
      </w:r>
    </w:p>
    <w:p>
      <w:pPr>
        <w:ind w:firstLine="480"/>
        <w:rPr>
          <w:rFonts w:hint="eastAsia" w:ascii="仿宋" w:hAnsi="仿宋" w:eastAsia="仿宋"/>
          <w:sz w:val="28"/>
          <w:szCs w:val="28"/>
          <w:lang w:val="en-US" w:eastAsia="zh-CN"/>
        </w:rPr>
      </w:pPr>
      <w:r>
        <w:rPr>
          <w:rFonts w:hint="eastAsia" w:ascii="仿宋" w:hAnsi="仿宋" w:eastAsia="仿宋"/>
          <w:sz w:val="28"/>
          <w:szCs w:val="28"/>
          <w:lang w:val="en-US" w:eastAsia="zh-CN"/>
        </w:rPr>
        <w:t>五是南县大队积极开展“12.4国家宪法日”主题宣传活动，南县大队宣传民警在南洲赤沙广场通过摆放事故案例展板，发放宣传资料、设立交通安全宣传咨询和便民服务等形式开展交通法律法规宣传活动，并冬季大雾大雪等恶劣天气下如何安全行车等多方面进行了重点宣传，此次活动大队共摆放宣传展板6块，发放宣传材料1200余份，收到了良好的宣传效果；</w:t>
      </w:r>
    </w:p>
    <w:p>
      <w:pPr>
        <w:ind w:firstLine="480"/>
        <w:rPr>
          <w:rFonts w:hint="default" w:ascii="仿宋" w:hAnsi="仿宋" w:eastAsia="仿宋"/>
          <w:sz w:val="28"/>
          <w:szCs w:val="28"/>
          <w:lang w:val="en-US" w:eastAsia="zh-CN"/>
        </w:rPr>
      </w:pPr>
      <w:r>
        <w:rPr>
          <w:rFonts w:hint="eastAsia" w:ascii="仿宋" w:hAnsi="仿宋" w:eastAsia="仿宋"/>
          <w:sz w:val="28"/>
          <w:szCs w:val="28"/>
          <w:lang w:val="en-US" w:eastAsia="zh-CN"/>
        </w:rPr>
        <w:t>六是为加强学校安全教育，提高学生交通安全意识和文明交通素质，养成自觉遵守交通规则的出行习惯和自我防护能力，2018年12月10日，南县大队以122“全国交通安全日”主题宣传活动为契机，走进南县德昌学校开展交通安全知识讲座，为五年级的学生们浇灌交通安全文明之花。</w:t>
      </w:r>
    </w:p>
    <w:p>
      <w:pPr>
        <w:ind w:firstLine="643" w:firstLineChars="200"/>
        <w:rPr>
          <w:rFonts w:asciiTheme="majorEastAsia" w:hAnsiTheme="majorEastAsia" w:eastAsiaTheme="majorEastAsia"/>
          <w:b/>
          <w:sz w:val="32"/>
          <w:szCs w:val="32"/>
        </w:rPr>
      </w:pPr>
      <w:r>
        <w:rPr>
          <w:rFonts w:hint="eastAsia" w:asciiTheme="majorEastAsia" w:hAnsiTheme="majorEastAsia" w:eastAsiaTheme="majorEastAsia"/>
          <w:b/>
          <w:sz w:val="32"/>
          <w:szCs w:val="32"/>
        </w:rPr>
        <w:t>四、绩效评价工作情况</w:t>
      </w:r>
    </w:p>
    <w:p>
      <w:pPr>
        <w:ind w:firstLine="560" w:firstLineChars="200"/>
        <w:rPr>
          <w:rFonts w:ascii="仿宋" w:hAnsi="仿宋" w:eastAsia="仿宋"/>
          <w:sz w:val="28"/>
          <w:szCs w:val="28"/>
        </w:rPr>
      </w:pPr>
      <w:r>
        <w:rPr>
          <w:rFonts w:hint="eastAsia" w:ascii="仿宋" w:hAnsi="仿宋" w:eastAsia="仿宋"/>
          <w:sz w:val="28"/>
          <w:szCs w:val="28"/>
          <w:lang w:val="en-US" w:eastAsia="zh-CN"/>
        </w:rPr>
        <w:t>(</w:t>
      </w:r>
      <w:r>
        <w:rPr>
          <w:rFonts w:hint="eastAsia" w:ascii="仿宋" w:hAnsi="仿宋" w:eastAsia="仿宋"/>
          <w:sz w:val="28"/>
          <w:szCs w:val="28"/>
        </w:rPr>
        <w:t>一</w:t>
      </w:r>
      <w:r>
        <w:rPr>
          <w:rFonts w:hint="eastAsia" w:ascii="仿宋" w:hAnsi="仿宋" w:eastAsia="仿宋"/>
          <w:sz w:val="28"/>
          <w:szCs w:val="28"/>
          <w:lang w:val="en-US" w:eastAsia="zh-CN"/>
        </w:rPr>
        <w:t>)</w:t>
      </w:r>
      <w:r>
        <w:rPr>
          <w:rFonts w:hint="eastAsia" w:ascii="仿宋" w:hAnsi="仿宋" w:eastAsia="仿宋"/>
          <w:sz w:val="28"/>
          <w:szCs w:val="28"/>
        </w:rPr>
        <w:t>绩效评价目的</w:t>
      </w:r>
    </w:p>
    <w:p>
      <w:pPr>
        <w:ind w:firstLine="480"/>
        <w:rPr>
          <w:rFonts w:hint="eastAsia" w:ascii="仿宋" w:hAnsi="仿宋" w:eastAsia="仿宋"/>
          <w:sz w:val="28"/>
          <w:szCs w:val="28"/>
        </w:rPr>
      </w:pPr>
      <w:r>
        <w:rPr>
          <w:rFonts w:hint="eastAsia" w:ascii="仿宋" w:hAnsi="仿宋" w:eastAsia="仿宋"/>
          <w:sz w:val="28"/>
          <w:szCs w:val="28"/>
        </w:rPr>
        <w:t xml:space="preserve"> 通过绩效评价全面分析该项目资金使用、管理和项目实施情况，进一步规范</w:t>
      </w:r>
      <w:r>
        <w:rPr>
          <w:rFonts w:hint="eastAsia" w:ascii="仿宋" w:hAnsi="仿宋" w:eastAsia="仿宋"/>
          <w:sz w:val="28"/>
          <w:szCs w:val="28"/>
          <w:lang w:eastAsia="zh-CN"/>
        </w:rPr>
        <w:t>交通安全宣传</w:t>
      </w:r>
      <w:r>
        <w:rPr>
          <w:rFonts w:hint="eastAsia" w:ascii="仿宋" w:hAnsi="仿宋" w:eastAsia="仿宋"/>
          <w:sz w:val="28"/>
          <w:szCs w:val="28"/>
        </w:rPr>
        <w:t>专项经费使用、管理制度，强化财政资金支出绩效理念，切实提高财政资金使用效益。</w:t>
      </w:r>
    </w:p>
    <w:p>
      <w:pPr>
        <w:ind w:firstLine="560" w:firstLineChars="200"/>
        <w:rPr>
          <w:rFonts w:ascii="仿宋" w:hAnsi="仿宋" w:eastAsia="仿宋"/>
          <w:sz w:val="28"/>
          <w:szCs w:val="28"/>
        </w:rPr>
      </w:pPr>
      <w:r>
        <w:rPr>
          <w:rFonts w:hint="eastAsia" w:ascii="仿宋" w:hAnsi="仿宋" w:eastAsia="仿宋"/>
          <w:sz w:val="28"/>
          <w:szCs w:val="28"/>
          <w:lang w:val="en-US" w:eastAsia="zh-CN"/>
        </w:rPr>
        <w:t>(</w:t>
      </w:r>
      <w:r>
        <w:rPr>
          <w:rFonts w:hint="eastAsia" w:ascii="仿宋" w:hAnsi="仿宋" w:eastAsia="仿宋"/>
          <w:sz w:val="28"/>
          <w:szCs w:val="28"/>
          <w:lang w:eastAsia="zh-CN"/>
        </w:rPr>
        <w:t>二</w:t>
      </w:r>
      <w:r>
        <w:rPr>
          <w:rFonts w:hint="eastAsia" w:ascii="仿宋" w:hAnsi="仿宋" w:eastAsia="仿宋"/>
          <w:sz w:val="28"/>
          <w:szCs w:val="28"/>
          <w:lang w:val="en-US" w:eastAsia="zh-CN"/>
        </w:rPr>
        <w:t>)</w:t>
      </w:r>
      <w:r>
        <w:rPr>
          <w:rFonts w:hint="eastAsia" w:ascii="仿宋" w:hAnsi="仿宋" w:eastAsia="仿宋"/>
          <w:sz w:val="28"/>
          <w:szCs w:val="28"/>
        </w:rPr>
        <w:t>绩效评价工作过程。</w:t>
      </w:r>
    </w:p>
    <w:p>
      <w:pPr>
        <w:ind w:firstLine="480"/>
        <w:rPr>
          <w:rFonts w:ascii="仿宋" w:hAnsi="仿宋" w:eastAsia="仿宋"/>
          <w:sz w:val="28"/>
          <w:szCs w:val="28"/>
        </w:rPr>
      </w:pPr>
      <w:r>
        <w:rPr>
          <w:rFonts w:hint="eastAsia" w:ascii="仿宋" w:hAnsi="仿宋" w:eastAsia="仿宋"/>
          <w:sz w:val="28"/>
          <w:szCs w:val="28"/>
        </w:rPr>
        <w:t>根据南县财政局《关于对2018年度县本级专项资金开展重点绩效评价工作的通知》(南财绩函[2019]14号)文件要求，我所按下列步骤开展了绩效评价工作。</w:t>
      </w:r>
    </w:p>
    <w:p>
      <w:pPr>
        <w:pStyle w:val="5"/>
        <w:ind w:firstLine="560" w:firstLineChars="200"/>
        <w:rPr>
          <w:rFonts w:ascii="仿宋" w:hAnsi="仿宋" w:eastAsia="仿宋"/>
          <w:sz w:val="28"/>
          <w:szCs w:val="28"/>
        </w:rPr>
      </w:pPr>
      <w:r>
        <w:rPr>
          <w:rFonts w:hint="eastAsia" w:ascii="仿宋" w:hAnsi="仿宋" w:eastAsia="仿宋"/>
          <w:sz w:val="28"/>
          <w:szCs w:val="28"/>
        </w:rPr>
        <w:t>1、前期准备。我所抽调专人成立了绩效评价工作组，明确了工作职责，制定了现场评价方案，设计了相关表格，联系了相关部门和单位，确定了实施时间。</w:t>
      </w:r>
    </w:p>
    <w:p>
      <w:pPr>
        <w:pStyle w:val="5"/>
        <w:ind w:firstLine="480"/>
        <w:rPr>
          <w:rFonts w:ascii="仿宋" w:hAnsi="仿宋" w:eastAsia="仿宋"/>
          <w:sz w:val="28"/>
          <w:szCs w:val="28"/>
        </w:rPr>
      </w:pPr>
      <w:r>
        <w:rPr>
          <w:rFonts w:hint="eastAsia" w:ascii="仿宋" w:hAnsi="仿宋" w:eastAsia="仿宋"/>
          <w:sz w:val="28"/>
          <w:szCs w:val="28"/>
        </w:rPr>
        <w:t>2、实施情况。项目绩效评价实施步骤：（1）召开座谈会。组织项目单位管理层、责任人员及相关代表召开座谈会，听取该项目有关情况介绍；（2）收集核查资料。收集该项目相关文件和项目单位相关制度等资料；核查相关制度是否完善，项目支出是否合规，资金拨付手续是否齐全，是否存在截留、挪用等情况；（3）现场查看。进入实地查看，调查走访，发放问卷调查。（4）归纳汇总。对提供材料及自评报告，结合现场评价情况进行综合分析、归纳汇总；（5）得出评价结论，形成绩效评价报告。</w:t>
      </w:r>
    </w:p>
    <w:p>
      <w:pPr>
        <w:pStyle w:val="5"/>
        <w:ind w:firstLine="480"/>
        <w:rPr>
          <w:rFonts w:asciiTheme="majorEastAsia" w:hAnsiTheme="majorEastAsia" w:eastAsiaTheme="majorEastAsia"/>
          <w:b/>
          <w:sz w:val="32"/>
          <w:szCs w:val="32"/>
        </w:rPr>
      </w:pPr>
      <w:r>
        <w:rPr>
          <w:rFonts w:hint="eastAsia" w:asciiTheme="majorEastAsia" w:hAnsiTheme="majorEastAsia" w:eastAsiaTheme="majorEastAsia"/>
          <w:b/>
          <w:sz w:val="32"/>
          <w:szCs w:val="32"/>
        </w:rPr>
        <w:t>五、绩效评价结果和主要绩效</w:t>
      </w:r>
    </w:p>
    <w:p>
      <w:pPr>
        <w:pStyle w:val="5"/>
        <w:ind w:firstLine="480"/>
        <w:rPr>
          <w:rFonts w:hint="eastAsia" w:ascii="仿宋" w:hAnsi="仿宋" w:eastAsia="仿宋"/>
          <w:sz w:val="28"/>
          <w:szCs w:val="28"/>
          <w:lang w:eastAsia="zh-CN"/>
        </w:rPr>
      </w:pPr>
      <w:r>
        <w:rPr>
          <w:rFonts w:hint="eastAsia" w:ascii="仿宋" w:hAnsi="仿宋" w:eastAsia="仿宋"/>
          <w:sz w:val="28"/>
          <w:szCs w:val="28"/>
        </w:rPr>
        <w:t>根据该项目资金绩效评价指标体系和绩效检查情况，该项目</w:t>
      </w:r>
      <w:r>
        <w:rPr>
          <w:rFonts w:hint="eastAsia" w:ascii="仿宋" w:hAnsi="仿宋" w:eastAsia="仿宋"/>
          <w:sz w:val="28"/>
          <w:szCs w:val="28"/>
          <w:lang w:val="en-US" w:eastAsia="zh-CN"/>
        </w:rPr>
        <w:t>2018年专项</w:t>
      </w:r>
      <w:r>
        <w:rPr>
          <w:rFonts w:hint="eastAsia" w:ascii="仿宋" w:hAnsi="仿宋" w:eastAsia="仿宋"/>
          <w:sz w:val="28"/>
          <w:szCs w:val="28"/>
        </w:rPr>
        <w:t>绩效</w:t>
      </w:r>
      <w:r>
        <w:rPr>
          <w:rFonts w:hint="eastAsia" w:ascii="仿宋" w:hAnsi="仿宋" w:eastAsia="仿宋"/>
          <w:sz w:val="28"/>
          <w:szCs w:val="28"/>
          <w:lang w:eastAsia="zh-CN"/>
        </w:rPr>
        <w:t>评价</w:t>
      </w:r>
      <w:r>
        <w:rPr>
          <w:rFonts w:hint="eastAsia" w:ascii="仿宋" w:hAnsi="仿宋" w:eastAsia="仿宋"/>
          <w:sz w:val="28"/>
          <w:szCs w:val="28"/>
        </w:rPr>
        <w:t>分值100</w:t>
      </w:r>
      <w:r>
        <w:rPr>
          <w:rFonts w:hint="eastAsia" w:ascii="仿宋" w:hAnsi="仿宋" w:eastAsia="仿宋"/>
          <w:sz w:val="28"/>
          <w:szCs w:val="28"/>
          <w:lang w:eastAsia="zh-CN"/>
        </w:rPr>
        <w:t>分</w:t>
      </w:r>
      <w:r>
        <w:rPr>
          <w:rFonts w:hint="eastAsia" w:ascii="仿宋" w:hAnsi="仿宋" w:eastAsia="仿宋"/>
          <w:sz w:val="28"/>
          <w:szCs w:val="28"/>
        </w:rPr>
        <w:t>，实得</w:t>
      </w:r>
      <w:r>
        <w:rPr>
          <w:rFonts w:hint="eastAsia" w:ascii="仿宋" w:hAnsi="仿宋" w:eastAsia="仿宋"/>
          <w:sz w:val="28"/>
          <w:szCs w:val="28"/>
          <w:lang w:val="en-US" w:eastAsia="zh-CN"/>
        </w:rPr>
        <w:t>69</w:t>
      </w:r>
      <w:r>
        <w:rPr>
          <w:rFonts w:hint="eastAsia" w:ascii="仿宋" w:hAnsi="仿宋" w:eastAsia="仿宋"/>
          <w:sz w:val="28"/>
          <w:szCs w:val="28"/>
        </w:rPr>
        <w:t>分</w:t>
      </w:r>
      <w:r>
        <w:rPr>
          <w:rFonts w:hint="eastAsia" w:ascii="仿宋" w:hAnsi="仿宋" w:eastAsia="仿宋"/>
          <w:sz w:val="28"/>
          <w:szCs w:val="28"/>
          <w:lang w:eastAsia="zh-CN"/>
        </w:rPr>
        <w:t>，</w:t>
      </w:r>
      <w:r>
        <w:rPr>
          <w:rFonts w:hint="eastAsia" w:ascii="仿宋" w:hAnsi="仿宋" w:eastAsia="仿宋"/>
          <w:sz w:val="28"/>
          <w:szCs w:val="28"/>
        </w:rPr>
        <w:t>被评为“</w:t>
      </w:r>
      <w:r>
        <w:rPr>
          <w:rFonts w:hint="eastAsia" w:ascii="仿宋" w:hAnsi="仿宋" w:eastAsia="仿宋"/>
          <w:sz w:val="28"/>
          <w:szCs w:val="28"/>
          <w:lang w:eastAsia="zh-CN"/>
        </w:rPr>
        <w:t>合格</w:t>
      </w:r>
      <w:r>
        <w:rPr>
          <w:rFonts w:hint="eastAsia" w:ascii="仿宋" w:hAnsi="仿宋" w:eastAsia="仿宋"/>
          <w:sz w:val="28"/>
          <w:szCs w:val="28"/>
        </w:rPr>
        <w:t>”</w:t>
      </w:r>
      <w:r>
        <w:rPr>
          <w:rFonts w:hint="eastAsia" w:ascii="仿宋" w:hAnsi="仿宋" w:eastAsia="仿宋"/>
          <w:sz w:val="28"/>
          <w:szCs w:val="28"/>
          <w:lang w:eastAsia="zh-CN"/>
        </w:rPr>
        <w:t>等级</w:t>
      </w:r>
      <w:r>
        <w:rPr>
          <w:rFonts w:hint="eastAsia" w:ascii="仿宋" w:hAnsi="仿宋" w:eastAsia="仿宋"/>
          <w:sz w:val="28"/>
          <w:szCs w:val="28"/>
          <w:lang w:val="en-US" w:eastAsia="zh-CN"/>
        </w:rPr>
        <w:t>(详见：南县公安局交通警察大队2018年交通安全宣传项目支出绩效评价指标评分表)。</w:t>
      </w:r>
      <w:r>
        <w:rPr>
          <w:rFonts w:hint="eastAsia" w:ascii="仿宋" w:hAnsi="仿宋" w:eastAsia="仿宋"/>
          <w:sz w:val="28"/>
          <w:szCs w:val="28"/>
        </w:rPr>
        <w:t>主要绩效表现</w:t>
      </w:r>
      <w:r>
        <w:rPr>
          <w:rFonts w:hint="eastAsia" w:ascii="仿宋" w:hAnsi="仿宋" w:eastAsia="仿宋"/>
          <w:sz w:val="28"/>
          <w:szCs w:val="28"/>
          <w:lang w:eastAsia="zh-CN"/>
        </w:rPr>
        <w:t>以下几个方面：</w:t>
      </w:r>
    </w:p>
    <w:p>
      <w:pPr>
        <w:pStyle w:val="5"/>
        <w:ind w:firstLine="480"/>
        <w:rPr>
          <w:rFonts w:hint="default" w:ascii="仿宋" w:hAnsi="仿宋" w:eastAsia="仿宋"/>
          <w:sz w:val="28"/>
          <w:szCs w:val="28"/>
          <w:lang w:val="en-US" w:eastAsia="zh-CN"/>
        </w:rPr>
      </w:pPr>
      <w:r>
        <w:rPr>
          <w:rFonts w:hint="eastAsia" w:ascii="仿宋" w:hAnsi="仿宋" w:eastAsia="仿宋"/>
          <w:sz w:val="28"/>
          <w:szCs w:val="28"/>
          <w:lang w:eastAsia="zh-CN"/>
        </w:rPr>
        <w:t>一、通过交通安全宣传教育工作的开展，群策群力，调动一切可以调动的力量，将交通安全教育工作搞得有声有色，卓有成效，以此来吸引社会各界和广大群众关注交通安全工作，吸引包括内部干警在内的社会方方面面的有生力量支持，形成现代文明交通的社会大氛围，有效预防和压降了交通事故，确保交通畅和安全。</w:t>
      </w:r>
    </w:p>
    <w:p>
      <w:pPr>
        <w:pStyle w:val="5"/>
        <w:ind w:firstLine="480"/>
        <w:rPr>
          <w:rFonts w:hint="eastAsia" w:ascii="仿宋" w:hAnsi="仿宋" w:eastAsia="仿宋"/>
          <w:color w:val="auto"/>
          <w:sz w:val="28"/>
          <w:szCs w:val="28"/>
          <w:lang w:eastAsia="zh-CN"/>
        </w:rPr>
      </w:pPr>
      <w:r>
        <w:rPr>
          <w:rFonts w:hint="eastAsia" w:ascii="仿宋" w:hAnsi="仿宋" w:eastAsia="仿宋"/>
          <w:color w:val="auto"/>
          <w:sz w:val="28"/>
          <w:szCs w:val="28"/>
          <w:lang w:eastAsia="zh-CN"/>
        </w:rPr>
        <w:t>二、通过发挥广播、电视、报纸、网络等媒体宣传作用，通过进社区，进学校，进企业的形式，加强交通安全宣传教育，提升广大交通参与者文明素质的安全意识，从源头上减少交通违法行为发生。</w:t>
      </w:r>
    </w:p>
    <w:p>
      <w:pPr>
        <w:pStyle w:val="5"/>
        <w:ind w:firstLine="480"/>
        <w:rPr>
          <w:rFonts w:hint="default" w:ascii="仿宋" w:hAnsi="仿宋" w:eastAsia="仿宋"/>
          <w:color w:val="auto"/>
          <w:sz w:val="28"/>
          <w:szCs w:val="28"/>
          <w:lang w:val="en-US" w:eastAsia="zh-CN"/>
        </w:rPr>
      </w:pPr>
      <w:r>
        <w:rPr>
          <w:rFonts w:hint="eastAsia" w:ascii="仿宋" w:hAnsi="仿宋" w:eastAsia="仿宋"/>
          <w:color w:val="auto"/>
          <w:sz w:val="28"/>
          <w:szCs w:val="28"/>
          <w:lang w:eastAsia="zh-CN"/>
        </w:rPr>
        <w:t>三、交通宣传教育工作的强力推进，有力地策应和服务了中心工作，</w:t>
      </w:r>
      <w:r>
        <w:rPr>
          <w:rFonts w:hint="eastAsia" w:ascii="仿宋" w:hAnsi="仿宋" w:eastAsia="仿宋"/>
          <w:color w:val="auto"/>
          <w:sz w:val="28"/>
          <w:szCs w:val="28"/>
          <w:lang w:val="en-US" w:eastAsia="zh-CN"/>
        </w:rPr>
        <w:t>2018年在全市公安交警系统综合考核中名列县市大队第一名；在政治建警考核中排名第一</w:t>
      </w:r>
      <w:r>
        <w:rPr>
          <w:rFonts w:hint="eastAsia" w:ascii="仿宋" w:hAnsi="仿宋" w:eastAsia="仿宋"/>
          <w:color w:val="auto"/>
          <w:sz w:val="28"/>
          <w:szCs w:val="28"/>
          <w:lang w:eastAsia="zh-CN"/>
        </w:rPr>
        <w:t>。</w:t>
      </w:r>
    </w:p>
    <w:p>
      <w:pPr>
        <w:pStyle w:val="5"/>
        <w:numPr>
          <w:ilvl w:val="0"/>
          <w:numId w:val="1"/>
        </w:numPr>
        <w:ind w:firstLine="480"/>
        <w:rPr>
          <w:rFonts w:hint="eastAsia" w:asciiTheme="majorEastAsia" w:hAnsiTheme="majorEastAsia" w:eastAsiaTheme="majorEastAsia"/>
          <w:b/>
          <w:sz w:val="32"/>
          <w:szCs w:val="32"/>
        </w:rPr>
      </w:pPr>
      <w:r>
        <w:rPr>
          <w:rFonts w:hint="eastAsia" w:asciiTheme="majorEastAsia" w:hAnsiTheme="majorEastAsia" w:eastAsiaTheme="majorEastAsia"/>
          <w:b/>
          <w:sz w:val="32"/>
          <w:szCs w:val="32"/>
        </w:rPr>
        <w:t>存在的主要问题</w:t>
      </w:r>
    </w:p>
    <w:p>
      <w:pPr>
        <w:pStyle w:val="5"/>
        <w:numPr>
          <w:ilvl w:val="0"/>
          <w:numId w:val="0"/>
        </w:numPr>
        <w:ind w:firstLine="560" w:firstLineChars="200"/>
        <w:rPr>
          <w:rFonts w:hint="eastAsia" w:ascii="仿宋" w:hAnsi="仿宋" w:eastAsia="仿宋" w:cs="仿宋"/>
          <w:b w:val="0"/>
          <w:bCs/>
          <w:sz w:val="28"/>
          <w:szCs w:val="28"/>
          <w:lang w:val="en-US" w:eastAsia="zh-CN"/>
        </w:rPr>
      </w:pPr>
      <w:r>
        <w:rPr>
          <w:rFonts w:hint="eastAsia" w:ascii="仿宋" w:hAnsi="仿宋" w:eastAsia="仿宋" w:cs="仿宋"/>
          <w:b w:val="0"/>
          <w:bCs/>
          <w:sz w:val="28"/>
          <w:szCs w:val="28"/>
          <w:lang w:eastAsia="zh-CN"/>
        </w:rPr>
        <w:t>南县公安局交通警察大队</w:t>
      </w:r>
      <w:r>
        <w:rPr>
          <w:rFonts w:hint="eastAsia" w:ascii="仿宋" w:hAnsi="仿宋" w:eastAsia="仿宋" w:cs="仿宋"/>
          <w:b w:val="0"/>
          <w:bCs/>
          <w:sz w:val="28"/>
          <w:szCs w:val="28"/>
          <w:lang w:val="en-US" w:eastAsia="zh-CN"/>
        </w:rPr>
        <w:t>2018年交通安全宣传专项在项目决策上合理，实施过程中领导重视，管理较规范，较好的达到了预期的绩效目标，但有些方面仍有不足，主要有：</w:t>
      </w:r>
    </w:p>
    <w:p>
      <w:pPr>
        <w:pStyle w:val="5"/>
        <w:numPr>
          <w:ilvl w:val="0"/>
          <w:numId w:val="0"/>
        </w:numPr>
        <w:ind w:firstLine="560" w:firstLineChars="200"/>
        <w:rPr>
          <w:rFonts w:hint="eastAsia" w:ascii="仿宋" w:hAnsi="仿宋" w:eastAsia="仿宋"/>
          <w:sz w:val="28"/>
          <w:szCs w:val="28"/>
          <w:lang w:val="en-US" w:eastAsia="zh-CN"/>
        </w:rPr>
      </w:pPr>
      <w:r>
        <w:rPr>
          <w:rFonts w:hint="eastAsia" w:ascii="仿宋" w:hAnsi="仿宋" w:eastAsia="仿宋"/>
          <w:sz w:val="28"/>
          <w:szCs w:val="28"/>
          <w:lang w:val="en-US" w:eastAsia="zh-CN"/>
        </w:rPr>
        <w:t>(一)绩效目标申报工作有待完善。2018年度《专项资金绩效目标申报表》中交通安全宣传专项各指标尽管已细化或量化，但量化的确指性不强，如产出数量全力完成年初制定的任务，但指标值中未填列任务指标指标。</w:t>
      </w:r>
    </w:p>
    <w:p>
      <w:pPr>
        <w:pStyle w:val="5"/>
        <w:numPr>
          <w:ilvl w:val="0"/>
          <w:numId w:val="0"/>
        </w:numPr>
        <w:ind w:firstLine="560" w:firstLineChars="200"/>
        <w:rPr>
          <w:rFonts w:hint="eastAsia" w:ascii="仿宋" w:hAnsi="仿宋" w:eastAsia="仿宋"/>
          <w:sz w:val="28"/>
          <w:szCs w:val="28"/>
        </w:rPr>
      </w:pPr>
      <w:r>
        <w:rPr>
          <w:rFonts w:hint="eastAsia" w:ascii="仿宋" w:hAnsi="仿宋" w:eastAsia="仿宋"/>
          <w:sz w:val="28"/>
          <w:szCs w:val="28"/>
          <w:lang w:val="en-US" w:eastAsia="zh-CN"/>
        </w:rPr>
        <w:t>(二)</w:t>
      </w:r>
      <w:r>
        <w:rPr>
          <w:rFonts w:hint="eastAsia" w:ascii="仿宋" w:hAnsi="仿宋" w:eastAsia="仿宋"/>
          <w:sz w:val="28"/>
          <w:szCs w:val="28"/>
        </w:rPr>
        <w:t>项目管理制度不完善。项目单位</w:t>
      </w:r>
      <w:r>
        <w:rPr>
          <w:rFonts w:hint="eastAsia" w:ascii="仿宋" w:hAnsi="仿宋" w:eastAsia="仿宋"/>
          <w:sz w:val="28"/>
          <w:szCs w:val="28"/>
          <w:lang w:eastAsia="zh-CN"/>
        </w:rPr>
        <w:t>仅制定了财务管理制度，未针对专项资金制定相关制度或办法，且</w:t>
      </w:r>
      <w:r>
        <w:rPr>
          <w:rFonts w:hint="eastAsia" w:ascii="仿宋" w:hAnsi="仿宋" w:eastAsia="仿宋"/>
          <w:sz w:val="28"/>
          <w:szCs w:val="28"/>
        </w:rPr>
        <w:t>对项目申报、资金拔付及使用、资金的监督检查等均没有详细规定。</w:t>
      </w:r>
    </w:p>
    <w:p>
      <w:pPr>
        <w:pStyle w:val="5"/>
        <w:numPr>
          <w:ilvl w:val="0"/>
          <w:numId w:val="0"/>
        </w:numPr>
        <w:ind w:firstLine="560" w:firstLineChars="200"/>
        <w:rPr>
          <w:rFonts w:hint="eastAsia" w:ascii="仿宋" w:hAnsi="仿宋" w:eastAsia="仿宋"/>
          <w:sz w:val="28"/>
          <w:szCs w:val="28"/>
          <w:lang w:val="en-US" w:eastAsia="zh-CN"/>
        </w:rPr>
      </w:pPr>
      <w:r>
        <w:rPr>
          <w:rFonts w:hint="eastAsia" w:ascii="仿宋" w:hAnsi="仿宋" w:eastAsia="仿宋"/>
          <w:sz w:val="28"/>
          <w:szCs w:val="28"/>
          <w:lang w:val="en-US" w:eastAsia="zh-CN"/>
        </w:rPr>
        <w:t>(三)会计核算工作欠规范。该项目2018年部门预算单位经费安排表中，明确该项目为“专项商品和服务支出-交通安全宣传”的经济类别，但项目的开支是使用的财政下拨的如下项目资金：①在“津贴补贴-广播电视台宣传费”下列支20,000.00元；②在“其他支出-巡逻中队支出”下项目列支21,675.00元；③在“其他商品服务支出-二中队支出”下列支2,500.00元；④在“其他商品服务支出-汽油”下列支88,100.00元；⑤另有现金列支174,533.00元，未按专项资金开展支出。另外对财政拨入的资金没有实施专户管理、单独入账，而是统收统入。</w:t>
      </w:r>
    </w:p>
    <w:p>
      <w:pPr>
        <w:pStyle w:val="5"/>
        <w:numPr>
          <w:ilvl w:val="0"/>
          <w:numId w:val="0"/>
        </w:numPr>
        <w:ind w:firstLine="560" w:firstLineChars="200"/>
        <w:rPr>
          <w:rFonts w:hint="eastAsia" w:ascii="仿宋" w:hAnsi="仿宋" w:eastAsia="仿宋"/>
          <w:sz w:val="28"/>
          <w:szCs w:val="28"/>
          <w:lang w:val="en-US" w:eastAsia="zh-CN"/>
        </w:rPr>
      </w:pPr>
      <w:r>
        <w:rPr>
          <w:rFonts w:hint="eastAsia" w:ascii="仿宋" w:hAnsi="仿宋" w:eastAsia="仿宋"/>
          <w:sz w:val="28"/>
          <w:szCs w:val="28"/>
          <w:lang w:val="en-US" w:eastAsia="zh-CN"/>
        </w:rPr>
        <w:t>(四)成本控制欠佳。交通安全宣传专项资金预算300,000.00元，实际使用306,808.00元，交通安全宣传专项资金超支6,808.00元。</w:t>
      </w:r>
    </w:p>
    <w:p>
      <w:pPr>
        <w:pStyle w:val="5"/>
        <w:numPr>
          <w:ilvl w:val="0"/>
          <w:numId w:val="0"/>
        </w:numPr>
        <w:ind w:firstLine="560" w:firstLineChars="200"/>
        <w:rPr>
          <w:rFonts w:hint="eastAsia" w:ascii="仿宋" w:hAnsi="仿宋" w:eastAsia="仿宋"/>
          <w:sz w:val="28"/>
          <w:szCs w:val="28"/>
          <w:lang w:val="en-US" w:eastAsia="zh-CN"/>
        </w:rPr>
      </w:pPr>
      <w:r>
        <w:rPr>
          <w:rFonts w:hint="eastAsia" w:ascii="仿宋" w:hAnsi="仿宋" w:eastAsia="仿宋"/>
          <w:sz w:val="28"/>
          <w:szCs w:val="28"/>
          <w:lang w:val="en-US" w:eastAsia="zh-CN"/>
        </w:rPr>
        <w:t>(五)监督检查工作未到位，有待加强。监督检查是保证预算执行的重要手段，通过实施内部监督检查，可以及时查找并督促整改财政管理中存在的问题，发挥监督预算、纠偏、评价及监管职能 ，推动财政管理更加规范、科学、合理、高效。本工作专项没有受到财政或主管部门的监督检查。</w:t>
      </w:r>
    </w:p>
    <w:p>
      <w:pPr>
        <w:pStyle w:val="5"/>
        <w:numPr>
          <w:ilvl w:val="0"/>
          <w:numId w:val="0"/>
        </w:numPr>
        <w:ind w:firstLine="560" w:firstLineChars="200"/>
        <w:rPr>
          <w:rFonts w:hint="eastAsia" w:ascii="仿宋" w:hAnsi="仿宋" w:eastAsia="仿宋"/>
          <w:sz w:val="28"/>
          <w:szCs w:val="28"/>
          <w:lang w:val="en-US" w:eastAsia="zh-CN"/>
        </w:rPr>
      </w:pPr>
      <w:r>
        <w:rPr>
          <w:rFonts w:hint="eastAsia" w:ascii="仿宋" w:hAnsi="仿宋" w:eastAsia="仿宋"/>
          <w:sz w:val="28"/>
          <w:szCs w:val="28"/>
          <w:lang w:val="en-US" w:eastAsia="zh-CN"/>
        </w:rPr>
        <w:t>(六)资料收集欠完备,绩效自评报告质量有待提高。评价人员通过查阅相关项目资料和档案，认为项目单位自评资料报送较为及时、数据基本准确，但提交的绩效自评报告中，对项目的立项依据（拔付依据）、项目管理制度的建立及执行情况以及存大的问题和相关建议等方面没有表述，绩效自评工作不够全面，绩效自评报告质量有待提高。</w:t>
      </w:r>
    </w:p>
    <w:p>
      <w:pPr>
        <w:pStyle w:val="5"/>
        <w:ind w:firstLine="643" w:firstLineChars="200"/>
      </w:pPr>
      <w:r>
        <w:rPr>
          <w:rFonts w:hint="eastAsia"/>
          <w:b/>
          <w:sz w:val="32"/>
          <w:szCs w:val="32"/>
        </w:rPr>
        <w:t>七、建议</w:t>
      </w:r>
    </w:p>
    <w:p>
      <w:pPr>
        <w:pStyle w:val="5"/>
        <w:ind w:firstLine="560" w:firstLineChars="200"/>
        <w:rPr>
          <w:rFonts w:hint="eastAsia" w:ascii="仿宋" w:hAnsi="仿宋" w:eastAsia="仿宋"/>
          <w:sz w:val="28"/>
          <w:szCs w:val="28"/>
          <w:lang w:val="en-US" w:eastAsia="zh-CN"/>
        </w:rPr>
      </w:pPr>
      <w:r>
        <w:rPr>
          <w:rFonts w:hint="eastAsia" w:ascii="仿宋" w:hAnsi="仿宋" w:eastAsia="仿宋"/>
          <w:sz w:val="28"/>
          <w:szCs w:val="28"/>
          <w:lang w:val="en-US" w:eastAsia="zh-CN"/>
        </w:rPr>
        <w:t>(</w:t>
      </w:r>
      <w:r>
        <w:rPr>
          <w:rFonts w:hint="eastAsia" w:ascii="仿宋" w:hAnsi="仿宋" w:eastAsia="仿宋"/>
          <w:sz w:val="28"/>
          <w:szCs w:val="28"/>
        </w:rPr>
        <w:t>一</w:t>
      </w:r>
      <w:r>
        <w:rPr>
          <w:rFonts w:hint="eastAsia" w:ascii="仿宋" w:hAnsi="仿宋" w:eastAsia="仿宋"/>
          <w:sz w:val="28"/>
          <w:szCs w:val="28"/>
          <w:lang w:val="en-US" w:eastAsia="zh-CN"/>
        </w:rPr>
        <w:t>)加强绩效管理工作理论学习，提高绩效目标申报质量，做到绩效目标明确、各指标细化、量化准确。</w:t>
      </w:r>
    </w:p>
    <w:p>
      <w:pPr>
        <w:pStyle w:val="5"/>
        <w:ind w:firstLine="560" w:firstLineChars="200"/>
        <w:rPr>
          <w:rFonts w:hint="eastAsia" w:ascii="仿宋" w:hAnsi="仿宋" w:eastAsia="仿宋"/>
          <w:sz w:val="28"/>
          <w:szCs w:val="28"/>
        </w:rPr>
      </w:pPr>
      <w:r>
        <w:rPr>
          <w:rFonts w:hint="eastAsia" w:ascii="仿宋" w:hAnsi="仿宋" w:eastAsia="仿宋"/>
          <w:sz w:val="28"/>
          <w:szCs w:val="28"/>
          <w:lang w:val="en-US" w:eastAsia="zh-CN"/>
        </w:rPr>
        <w:t>(</w:t>
      </w:r>
      <w:r>
        <w:rPr>
          <w:rFonts w:hint="eastAsia" w:ascii="仿宋" w:hAnsi="仿宋" w:eastAsia="仿宋"/>
          <w:sz w:val="28"/>
          <w:szCs w:val="28"/>
          <w:lang w:eastAsia="zh-CN"/>
        </w:rPr>
        <w:t>二</w:t>
      </w:r>
      <w:r>
        <w:rPr>
          <w:rFonts w:hint="eastAsia" w:ascii="仿宋" w:hAnsi="仿宋" w:eastAsia="仿宋"/>
          <w:sz w:val="28"/>
          <w:szCs w:val="28"/>
          <w:lang w:val="en-US" w:eastAsia="zh-CN"/>
        </w:rPr>
        <w:t>)</w:t>
      </w:r>
      <w:r>
        <w:rPr>
          <w:rFonts w:hint="eastAsia" w:ascii="仿宋" w:hAnsi="仿宋" w:eastAsia="仿宋"/>
          <w:sz w:val="28"/>
          <w:szCs w:val="28"/>
        </w:rPr>
        <w:t>完善项目管理制度和专项资金管理办法，使各项目在立项、申报、批复及执行过程中均有据可查，有章</w:t>
      </w:r>
      <w:r>
        <w:rPr>
          <w:rFonts w:hint="eastAsia" w:ascii="仿宋" w:hAnsi="仿宋" w:eastAsia="仿宋"/>
          <w:sz w:val="28"/>
          <w:szCs w:val="28"/>
          <w:lang w:eastAsia="zh-CN"/>
        </w:rPr>
        <w:t>可</w:t>
      </w:r>
      <w:r>
        <w:rPr>
          <w:rFonts w:hint="eastAsia" w:ascii="仿宋" w:hAnsi="仿宋" w:eastAsia="仿宋"/>
          <w:sz w:val="28"/>
          <w:szCs w:val="28"/>
        </w:rPr>
        <w:t>依；在专项资金使用上应对资金的申请、拔付，使用的范围、标准以及监督检查等有明确的规定，使制度和办法贯穿于整个项目的始终。</w:t>
      </w:r>
    </w:p>
    <w:p>
      <w:pPr>
        <w:pStyle w:val="5"/>
        <w:ind w:firstLine="560" w:firstLineChars="200"/>
        <w:rPr>
          <w:rFonts w:hint="eastAsia" w:ascii="仿宋" w:hAnsi="仿宋" w:eastAsia="仿宋"/>
          <w:sz w:val="28"/>
          <w:szCs w:val="28"/>
          <w:lang w:val="en-US" w:eastAsia="zh-CN"/>
        </w:rPr>
      </w:pPr>
      <w:r>
        <w:rPr>
          <w:rFonts w:hint="eastAsia" w:ascii="仿宋" w:hAnsi="仿宋" w:eastAsia="仿宋"/>
          <w:sz w:val="28"/>
          <w:szCs w:val="28"/>
          <w:lang w:val="en-US" w:eastAsia="zh-CN"/>
        </w:rPr>
        <w:t>(三)加强会计核算工作，严格按准则要求进行账务处理，专项资金坚决实行“专人管理、专户储存、专账核算、专项使用”的原则，在专项资金拨入时努力做到来源明确并单独核算，所有支出尽量纳入财政预算架构。</w:t>
      </w:r>
    </w:p>
    <w:p>
      <w:pPr>
        <w:pStyle w:val="5"/>
        <w:ind w:firstLine="560" w:firstLineChars="200"/>
        <w:rPr>
          <w:rFonts w:hint="eastAsia" w:ascii="仿宋" w:hAnsi="仿宋" w:eastAsia="仿宋"/>
          <w:sz w:val="28"/>
          <w:szCs w:val="28"/>
          <w:lang w:val="en-US" w:eastAsia="zh-CN"/>
        </w:rPr>
      </w:pPr>
      <w:r>
        <w:rPr>
          <w:rFonts w:hint="eastAsia" w:ascii="仿宋" w:hAnsi="仿宋" w:eastAsia="仿宋"/>
          <w:sz w:val="28"/>
          <w:szCs w:val="28"/>
          <w:lang w:val="en-US" w:eastAsia="zh-CN"/>
        </w:rPr>
        <w:t>(四)努力提升预算的准确性和严肃性，在预算范围内控制成本支出。</w:t>
      </w:r>
    </w:p>
    <w:p>
      <w:pPr>
        <w:pStyle w:val="5"/>
        <w:ind w:firstLine="560" w:firstLineChars="200"/>
        <w:rPr>
          <w:rFonts w:hint="eastAsia" w:ascii="仿宋" w:hAnsi="仿宋" w:eastAsia="仿宋"/>
          <w:sz w:val="28"/>
          <w:szCs w:val="28"/>
          <w:lang w:val="en-US" w:eastAsia="zh-CN"/>
        </w:rPr>
      </w:pPr>
      <w:r>
        <w:rPr>
          <w:rFonts w:hint="eastAsia" w:ascii="仿宋" w:hAnsi="仿宋" w:eastAsia="仿宋"/>
          <w:sz w:val="28"/>
          <w:szCs w:val="28"/>
          <w:lang w:val="en-US" w:eastAsia="zh-CN"/>
        </w:rPr>
        <w:t>(五)为了保证财政预算的执行质量，杜绝暗箱操作或腐败行为，保证财政预算的编制效果，因而必须要采取切实措施加强对预算执行情况的监督检查，以规范各有关预算执行部门的行为。</w:t>
      </w:r>
    </w:p>
    <w:p>
      <w:pPr>
        <w:pStyle w:val="5"/>
        <w:ind w:firstLine="560" w:firstLineChars="200"/>
        <w:rPr>
          <w:rFonts w:hint="eastAsia" w:ascii="仿宋" w:hAnsi="仿宋" w:eastAsia="仿宋"/>
          <w:sz w:val="28"/>
          <w:szCs w:val="28"/>
          <w:lang w:val="en-US" w:eastAsia="zh-CN"/>
        </w:rPr>
      </w:pPr>
      <w:r>
        <w:rPr>
          <w:rFonts w:hint="eastAsia" w:ascii="仿宋" w:hAnsi="仿宋" w:eastAsia="仿宋"/>
          <w:sz w:val="28"/>
          <w:szCs w:val="28"/>
          <w:lang w:val="en-US" w:eastAsia="zh-CN"/>
        </w:rPr>
        <w:t>(六)提高认识，努力提高资料收集及项目绩效自评水平。全面绩效评价工作已经提升到了党的政策高度，因此绩效评价工作也是一个常态性的重要工作，资料收集完备以及项目自评报告的水平也直接反映了项目单位的重视程度及专项工作做得好坏的重要参考。</w:t>
      </w:r>
    </w:p>
    <w:p>
      <w:pPr>
        <w:pStyle w:val="5"/>
        <w:ind w:firstLine="560" w:firstLineChars="200"/>
        <w:rPr>
          <w:rFonts w:hint="eastAsia" w:ascii="仿宋" w:hAnsi="仿宋" w:eastAsia="仿宋"/>
          <w:sz w:val="28"/>
          <w:szCs w:val="28"/>
          <w:lang w:val="en-US" w:eastAsia="zh-CN"/>
        </w:rPr>
      </w:pPr>
    </w:p>
    <w:p>
      <w:pPr>
        <w:pStyle w:val="5"/>
        <w:ind w:firstLine="560" w:firstLineChars="200"/>
        <w:rPr>
          <w:rFonts w:hint="eastAsia" w:ascii="仿宋" w:hAnsi="仿宋" w:eastAsia="仿宋"/>
          <w:sz w:val="28"/>
          <w:szCs w:val="28"/>
          <w:lang w:val="en-US" w:eastAsia="zh-CN"/>
        </w:rPr>
      </w:pPr>
      <w:bookmarkStart w:id="0" w:name="_GoBack"/>
      <w:bookmarkEnd w:id="0"/>
    </w:p>
    <w:p>
      <w:pPr>
        <w:pStyle w:val="5"/>
        <w:ind w:firstLine="5600" w:firstLineChars="2000"/>
      </w:pPr>
      <w:r>
        <w:rPr>
          <w:rFonts w:hint="eastAsia" w:ascii="仿宋" w:hAnsi="仿宋" w:eastAsia="仿宋"/>
          <w:sz w:val="28"/>
          <w:szCs w:val="28"/>
        </w:rPr>
        <w:t>2019年</w:t>
      </w:r>
      <w:r>
        <w:rPr>
          <w:rFonts w:hint="eastAsia" w:ascii="仿宋" w:hAnsi="仿宋" w:eastAsia="仿宋"/>
          <w:sz w:val="28"/>
          <w:szCs w:val="28"/>
          <w:lang w:val="en-US" w:eastAsia="zh-CN"/>
        </w:rPr>
        <w:t>6</w:t>
      </w:r>
      <w:r>
        <w:rPr>
          <w:rFonts w:hint="eastAsia" w:ascii="仿宋" w:hAnsi="仿宋" w:eastAsia="仿宋"/>
          <w:sz w:val="28"/>
          <w:szCs w:val="28"/>
        </w:rPr>
        <w:t>月</w:t>
      </w:r>
      <w:r>
        <w:rPr>
          <w:rFonts w:hint="eastAsia" w:ascii="仿宋" w:hAnsi="仿宋" w:eastAsia="仿宋"/>
          <w:sz w:val="28"/>
          <w:szCs w:val="28"/>
          <w:lang w:val="en-US" w:eastAsia="zh-CN"/>
        </w:rPr>
        <w:t>13</w:t>
      </w:r>
      <w:r>
        <w:rPr>
          <w:rFonts w:hint="eastAsia" w:ascii="仿宋" w:hAnsi="仿宋" w:eastAsia="仿宋"/>
          <w:sz w:val="28"/>
          <w:szCs w:val="28"/>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swiss"/>
    <w:pitch w:val="default"/>
    <w:sig w:usb0="80000287" w:usb1="280F3C52"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72C7E27"/>
    <w:multiLevelType w:val="singleLevel"/>
    <w:tmpl w:val="572C7E27"/>
    <w:lvl w:ilvl="0" w:tentative="0">
      <w:start w:val="6"/>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65AB"/>
    <w:rsid w:val="0001335A"/>
    <w:rsid w:val="00065665"/>
    <w:rsid w:val="000A0340"/>
    <w:rsid w:val="000B3D15"/>
    <w:rsid w:val="000C0FE2"/>
    <w:rsid w:val="000F1315"/>
    <w:rsid w:val="000F2ACA"/>
    <w:rsid w:val="000F50E8"/>
    <w:rsid w:val="00147956"/>
    <w:rsid w:val="00167E80"/>
    <w:rsid w:val="0018199C"/>
    <w:rsid w:val="00187EEE"/>
    <w:rsid w:val="001A3AFC"/>
    <w:rsid w:val="001B2AEC"/>
    <w:rsid w:val="001B3D22"/>
    <w:rsid w:val="001B573D"/>
    <w:rsid w:val="001C1213"/>
    <w:rsid w:val="001E2F50"/>
    <w:rsid w:val="00200E4D"/>
    <w:rsid w:val="00221162"/>
    <w:rsid w:val="0022517E"/>
    <w:rsid w:val="00232700"/>
    <w:rsid w:val="0026248C"/>
    <w:rsid w:val="002F3B60"/>
    <w:rsid w:val="00305F6D"/>
    <w:rsid w:val="00317B4C"/>
    <w:rsid w:val="00324225"/>
    <w:rsid w:val="003666A4"/>
    <w:rsid w:val="00384A4C"/>
    <w:rsid w:val="00386BB0"/>
    <w:rsid w:val="003A0875"/>
    <w:rsid w:val="003D23A4"/>
    <w:rsid w:val="003E28D3"/>
    <w:rsid w:val="003E4D95"/>
    <w:rsid w:val="003E6D8E"/>
    <w:rsid w:val="004001CD"/>
    <w:rsid w:val="00425808"/>
    <w:rsid w:val="00431DFC"/>
    <w:rsid w:val="00447BC7"/>
    <w:rsid w:val="00460FD9"/>
    <w:rsid w:val="00482313"/>
    <w:rsid w:val="004829B8"/>
    <w:rsid w:val="004E182A"/>
    <w:rsid w:val="00501BC1"/>
    <w:rsid w:val="00551512"/>
    <w:rsid w:val="005748D1"/>
    <w:rsid w:val="005A0607"/>
    <w:rsid w:val="005A132A"/>
    <w:rsid w:val="005A6674"/>
    <w:rsid w:val="005A679E"/>
    <w:rsid w:val="005A69B3"/>
    <w:rsid w:val="005D30FF"/>
    <w:rsid w:val="005E6E1F"/>
    <w:rsid w:val="0062702A"/>
    <w:rsid w:val="00637EF4"/>
    <w:rsid w:val="0065649E"/>
    <w:rsid w:val="00672842"/>
    <w:rsid w:val="00686D23"/>
    <w:rsid w:val="006903F8"/>
    <w:rsid w:val="006A4AF2"/>
    <w:rsid w:val="006D2288"/>
    <w:rsid w:val="006E0495"/>
    <w:rsid w:val="006F43C9"/>
    <w:rsid w:val="00700E79"/>
    <w:rsid w:val="00703CFF"/>
    <w:rsid w:val="00707806"/>
    <w:rsid w:val="0074162A"/>
    <w:rsid w:val="00757391"/>
    <w:rsid w:val="007A0246"/>
    <w:rsid w:val="007A3DB3"/>
    <w:rsid w:val="007C5A49"/>
    <w:rsid w:val="007C65AB"/>
    <w:rsid w:val="007E3002"/>
    <w:rsid w:val="00803268"/>
    <w:rsid w:val="0088278C"/>
    <w:rsid w:val="008E521C"/>
    <w:rsid w:val="00923836"/>
    <w:rsid w:val="009A3E27"/>
    <w:rsid w:val="009C558A"/>
    <w:rsid w:val="009E7AB8"/>
    <w:rsid w:val="00A26203"/>
    <w:rsid w:val="00A327DE"/>
    <w:rsid w:val="00A536B1"/>
    <w:rsid w:val="00A53FDF"/>
    <w:rsid w:val="00A77DB5"/>
    <w:rsid w:val="00A8645C"/>
    <w:rsid w:val="00AC19B2"/>
    <w:rsid w:val="00AD487F"/>
    <w:rsid w:val="00AF32A8"/>
    <w:rsid w:val="00B4209D"/>
    <w:rsid w:val="00B426FD"/>
    <w:rsid w:val="00B90688"/>
    <w:rsid w:val="00B9259F"/>
    <w:rsid w:val="00C01044"/>
    <w:rsid w:val="00C3689C"/>
    <w:rsid w:val="00C45C70"/>
    <w:rsid w:val="00C539D8"/>
    <w:rsid w:val="00C66843"/>
    <w:rsid w:val="00C72A00"/>
    <w:rsid w:val="00C732D2"/>
    <w:rsid w:val="00C95E27"/>
    <w:rsid w:val="00CD1927"/>
    <w:rsid w:val="00D04D00"/>
    <w:rsid w:val="00D071FF"/>
    <w:rsid w:val="00D55BB2"/>
    <w:rsid w:val="00E659BB"/>
    <w:rsid w:val="00E75B44"/>
    <w:rsid w:val="00E87C36"/>
    <w:rsid w:val="00ED34A2"/>
    <w:rsid w:val="00F03227"/>
    <w:rsid w:val="00F52092"/>
    <w:rsid w:val="00F65304"/>
    <w:rsid w:val="01C22A69"/>
    <w:rsid w:val="02887727"/>
    <w:rsid w:val="04874319"/>
    <w:rsid w:val="049E090E"/>
    <w:rsid w:val="04B244D5"/>
    <w:rsid w:val="05C826D9"/>
    <w:rsid w:val="0FA31DC4"/>
    <w:rsid w:val="10B25B06"/>
    <w:rsid w:val="115714F4"/>
    <w:rsid w:val="11A53946"/>
    <w:rsid w:val="128D3116"/>
    <w:rsid w:val="14C83CF1"/>
    <w:rsid w:val="195472E9"/>
    <w:rsid w:val="1BFD0501"/>
    <w:rsid w:val="1D674A90"/>
    <w:rsid w:val="1E890EDE"/>
    <w:rsid w:val="237476A5"/>
    <w:rsid w:val="247C5C66"/>
    <w:rsid w:val="2A39331E"/>
    <w:rsid w:val="2AE31D8A"/>
    <w:rsid w:val="2DBF74D3"/>
    <w:rsid w:val="305E17BD"/>
    <w:rsid w:val="31765E93"/>
    <w:rsid w:val="33EB59A1"/>
    <w:rsid w:val="34DF7456"/>
    <w:rsid w:val="36493F11"/>
    <w:rsid w:val="36C72F7A"/>
    <w:rsid w:val="38571E52"/>
    <w:rsid w:val="3A5E30C4"/>
    <w:rsid w:val="3B7041B4"/>
    <w:rsid w:val="3C124143"/>
    <w:rsid w:val="3DF75091"/>
    <w:rsid w:val="3E781D8B"/>
    <w:rsid w:val="41F0316B"/>
    <w:rsid w:val="43050324"/>
    <w:rsid w:val="45B42073"/>
    <w:rsid w:val="47425789"/>
    <w:rsid w:val="47FE7A48"/>
    <w:rsid w:val="49F24798"/>
    <w:rsid w:val="4A6746A0"/>
    <w:rsid w:val="4A92116B"/>
    <w:rsid w:val="4F6469B2"/>
    <w:rsid w:val="51326072"/>
    <w:rsid w:val="5334478F"/>
    <w:rsid w:val="546412B5"/>
    <w:rsid w:val="54B70313"/>
    <w:rsid w:val="56805B0E"/>
    <w:rsid w:val="58156D95"/>
    <w:rsid w:val="5B5F5746"/>
    <w:rsid w:val="5EE6325E"/>
    <w:rsid w:val="6212335A"/>
    <w:rsid w:val="64B53CCB"/>
    <w:rsid w:val="65125D3A"/>
    <w:rsid w:val="65257EA4"/>
    <w:rsid w:val="656C0F29"/>
    <w:rsid w:val="67011205"/>
    <w:rsid w:val="672727CC"/>
    <w:rsid w:val="6942471B"/>
    <w:rsid w:val="69527830"/>
    <w:rsid w:val="69F71D35"/>
    <w:rsid w:val="6E6F2A87"/>
    <w:rsid w:val="6FCF3305"/>
    <w:rsid w:val="702E5129"/>
    <w:rsid w:val="727B753F"/>
    <w:rsid w:val="72855F23"/>
    <w:rsid w:val="73120DE2"/>
    <w:rsid w:val="73A6199E"/>
    <w:rsid w:val="74F41AC8"/>
    <w:rsid w:val="75A54B75"/>
    <w:rsid w:val="7B330A2B"/>
    <w:rsid w:val="7BF641D2"/>
    <w:rsid w:val="7EB376E4"/>
    <w:rsid w:val="7F4D3073"/>
    <w:rsid w:val="7F792E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540" w:lineRule="exact"/>
    </w:pPr>
    <w:rPr>
      <w:rFonts w:asciiTheme="minorHAnsi" w:hAnsiTheme="minorHAnsi" w:eastAsiaTheme="minorEastAsia" w:cstheme="minorBidi"/>
      <w:kern w:val="2"/>
      <w:sz w:val="21"/>
      <w:szCs w:val="22"/>
      <w:lang w:val="en-US" w:eastAsia="zh-CN" w:bidi="ar-SA"/>
    </w:rPr>
  </w:style>
  <w:style w:type="character" w:default="1" w:styleId="4">
    <w:name w:val="Default Paragraph Font"/>
    <w:unhideWhenUsed/>
    <w:qFormat/>
    <w:uiPriority w:val="1"/>
  </w:style>
  <w:style w:type="table" w:default="1" w:styleId="3">
    <w:name w:val="Normal Table"/>
    <w:semiHidden/>
    <w:unhideWhenUsed/>
    <w:qFormat/>
    <w:uiPriority w:val="99"/>
    <w:tblPr>
      <w:tblLayout w:type="fixed"/>
      <w:tblCellMar>
        <w:top w:w="0" w:type="dxa"/>
        <w:left w:w="108" w:type="dxa"/>
        <w:bottom w:w="0" w:type="dxa"/>
        <w:right w:w="108" w:type="dxa"/>
      </w:tblCellMar>
    </w:tblPr>
  </w:style>
  <w:style w:type="paragraph" w:styleId="2">
    <w:name w:val="Normal (Web)"/>
    <w:basedOn w:val="1"/>
    <w:unhideWhenUsed/>
    <w:qFormat/>
    <w:uiPriority w:val="99"/>
    <w:pPr>
      <w:spacing w:before="100" w:beforeAutospacing="1" w:after="100" w:afterAutospacing="1"/>
    </w:pPr>
    <w:rPr>
      <w:rFonts w:ascii="宋体" w:hAnsi="宋体" w:eastAsia="宋体" w:cs="宋体"/>
      <w:kern w:val="0"/>
      <w:sz w:val="24"/>
      <w:szCs w:val="24"/>
    </w:rPr>
  </w:style>
  <w:style w:type="paragraph" w:styleId="5">
    <w:name w:val="No Spacing"/>
    <w:qFormat/>
    <w:uiPriority w:val="1"/>
    <w:pPr>
      <w:widowControl w:val="0"/>
      <w:spacing w:line="540" w:lineRule="exact"/>
      <w:jc w:val="both"/>
    </w:pPr>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491</Words>
  <Characters>2803</Characters>
  <Lines>23</Lines>
  <Paragraphs>6</Paragraphs>
  <TotalTime>11</TotalTime>
  <ScaleCrop>false</ScaleCrop>
  <LinksUpToDate>false</LinksUpToDate>
  <CharactersWithSpaces>3288</CharactersWithSpaces>
  <Application>WPS Office_11.1.0.8808_F1E327BC-269C-435d-A152-05C5408002CA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2019-06-10T00:21:00Z</dcterms:created>
  <dc:creator>xb21cn</dc:creator>
  <cp:lastModifiedBy>Administrator</cp:lastModifiedBy>
  <dcterms:modified xsi:type="dcterms:W3CDTF">2019-07-08T12:46:26Z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2052-11.1.0.8808</vt:lpwstr>
  </property>
</Properties>
</file>