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spacing w:line="900" w:lineRule="atLeast"/>
        <w:jc w:val="center"/>
        <w:outlineLvl w:val="0"/>
        <w:rPr>
          <w:rFonts w:hint="default" w:ascii="微软雅黑" w:hAnsi="微软雅黑" w:eastAsia="微软雅黑" w:cs="宋体"/>
          <w:b/>
          <w:bCs/>
          <w:color w:val="333333"/>
          <w:kern w:val="36"/>
          <w:sz w:val="36"/>
          <w:szCs w:val="36"/>
          <w:lang w:val="en-US"/>
        </w:rPr>
      </w:pPr>
      <w:r>
        <w:rPr>
          <w:rFonts w:hint="eastAsia" w:ascii="微软雅黑" w:hAnsi="微软雅黑" w:eastAsia="微软雅黑" w:cs="宋体"/>
          <w:b/>
          <w:bCs/>
          <w:color w:val="333333"/>
          <w:kern w:val="36"/>
          <w:sz w:val="36"/>
          <w:szCs w:val="36"/>
        </w:rPr>
        <w:t>南县</w:t>
      </w:r>
      <w:r>
        <w:rPr>
          <w:rFonts w:hint="eastAsia" w:ascii="微软雅黑" w:hAnsi="微软雅黑" w:eastAsia="微软雅黑" w:cs="宋体"/>
          <w:b/>
          <w:bCs/>
          <w:color w:val="333333"/>
          <w:kern w:val="36"/>
          <w:sz w:val="36"/>
          <w:szCs w:val="36"/>
          <w:lang w:eastAsia="zh-CN"/>
        </w:rPr>
        <w:t>广播电视台</w:t>
      </w:r>
      <w:r>
        <w:rPr>
          <w:rFonts w:hint="eastAsia" w:ascii="微软雅黑" w:hAnsi="微软雅黑" w:eastAsia="微软雅黑" w:cs="宋体"/>
          <w:b/>
          <w:bCs/>
          <w:color w:val="333333"/>
          <w:kern w:val="36"/>
          <w:sz w:val="36"/>
          <w:szCs w:val="36"/>
        </w:rPr>
        <w:t>2018年</w:t>
      </w:r>
      <w:r>
        <w:rPr>
          <w:rFonts w:hint="eastAsia" w:ascii="微软雅黑" w:hAnsi="微软雅黑" w:eastAsia="微软雅黑" w:cs="宋体"/>
          <w:b/>
          <w:bCs/>
          <w:color w:val="333333"/>
          <w:kern w:val="36"/>
          <w:sz w:val="36"/>
          <w:szCs w:val="36"/>
          <w:lang w:eastAsia="zh-CN"/>
        </w:rPr>
        <w:t>专用设备购置专项工作经费</w:t>
      </w:r>
    </w:p>
    <w:p>
      <w:pPr>
        <w:shd w:val="clear" w:color="auto" w:fill="FFFFFF"/>
        <w:spacing w:line="900" w:lineRule="atLeast"/>
        <w:jc w:val="center"/>
        <w:outlineLvl w:val="0"/>
        <w:rPr>
          <w:rFonts w:ascii="微软雅黑" w:hAnsi="微软雅黑" w:eastAsia="微软雅黑" w:cs="宋体"/>
          <w:b/>
          <w:bCs/>
          <w:color w:val="333333"/>
          <w:kern w:val="36"/>
          <w:sz w:val="36"/>
          <w:szCs w:val="36"/>
        </w:rPr>
      </w:pPr>
      <w:r>
        <w:rPr>
          <w:rFonts w:hint="eastAsia" w:ascii="微软雅黑" w:hAnsi="微软雅黑" w:eastAsia="微软雅黑" w:cs="宋体"/>
          <w:b/>
          <w:bCs/>
          <w:color w:val="333333"/>
          <w:kern w:val="36"/>
          <w:sz w:val="36"/>
          <w:szCs w:val="36"/>
        </w:rPr>
        <w:t>绩效评价报告</w:t>
      </w:r>
    </w:p>
    <w:p>
      <w:pPr>
        <w:shd w:val="clear" w:color="auto" w:fill="FFFFFF"/>
        <w:spacing w:line="450" w:lineRule="atLeast"/>
        <w:ind w:firstLine="1960" w:firstLineChars="700"/>
        <w:rPr>
          <w:rFonts w:hint="eastAsia" w:ascii="仿宋" w:hAnsi="仿宋" w:eastAsia="仿宋" w:cs="宋体"/>
          <w:bCs/>
          <w:color w:val="333333"/>
          <w:kern w:val="0"/>
          <w:sz w:val="28"/>
          <w:szCs w:val="28"/>
          <w:lang w:val="en-US" w:eastAsia="zh-CN"/>
        </w:rPr>
      </w:pPr>
      <w:r>
        <w:rPr>
          <w:rFonts w:hint="eastAsia" w:ascii="仿宋" w:hAnsi="仿宋" w:eastAsia="仿宋" w:cs="宋体"/>
          <w:bCs/>
          <w:color w:val="333333"/>
          <w:kern w:val="0"/>
          <w:sz w:val="28"/>
          <w:szCs w:val="28"/>
        </w:rPr>
        <w:t>湖南新财苑会计师事务所</w:t>
      </w:r>
      <w:r>
        <w:rPr>
          <w:rFonts w:hint="eastAsia" w:ascii="仿宋" w:hAnsi="仿宋" w:eastAsia="仿宋" w:cs="宋体"/>
          <w:bCs/>
          <w:color w:val="333333"/>
          <w:kern w:val="0"/>
          <w:sz w:val="28"/>
          <w:szCs w:val="28"/>
          <w:lang w:eastAsia="zh-CN"/>
        </w:rPr>
        <w:t>有限公司</w:t>
      </w:r>
    </w:p>
    <w:p>
      <w:pPr>
        <w:ind w:firstLine="900" w:firstLineChars="300"/>
        <w:rPr>
          <w:rFonts w:ascii="仿宋" w:hAnsi="仿宋" w:eastAsia="仿宋"/>
          <w:sz w:val="30"/>
          <w:szCs w:val="30"/>
        </w:rPr>
      </w:pPr>
      <w:r>
        <w:rPr>
          <w:rFonts w:hint="eastAsia" w:ascii="仿宋" w:hAnsi="仿宋" w:eastAsia="仿宋"/>
          <w:sz w:val="30"/>
          <w:szCs w:val="30"/>
          <w:lang w:eastAsia="zh-CN"/>
        </w:rPr>
        <w:t>为进一步规范财政资金管理，强化财政资金支出绩效理念，切实提高财政资金使用效益，根据</w:t>
      </w:r>
      <w:r>
        <w:rPr>
          <w:rFonts w:hint="eastAsia" w:ascii="仿宋" w:hAnsi="仿宋" w:eastAsia="仿宋"/>
          <w:sz w:val="30"/>
          <w:szCs w:val="30"/>
          <w:shd w:val="clear" w:color="auto" w:fill="FFFFFF"/>
        </w:rPr>
        <w:t>《</w:t>
      </w:r>
      <w:r>
        <w:rPr>
          <w:rFonts w:hint="eastAsia" w:ascii="仿宋" w:hAnsi="仿宋" w:eastAsia="仿宋"/>
          <w:sz w:val="30"/>
          <w:szCs w:val="30"/>
          <w:shd w:val="clear" w:color="auto" w:fill="FFFFFF"/>
          <w:lang w:eastAsia="zh-CN"/>
        </w:rPr>
        <w:t>中共中央</w:t>
      </w:r>
      <w:r>
        <w:rPr>
          <w:rFonts w:hint="eastAsia" w:ascii="仿宋" w:hAnsi="仿宋" w:eastAsia="仿宋"/>
          <w:sz w:val="30"/>
          <w:szCs w:val="30"/>
          <w:shd w:val="clear" w:color="auto" w:fill="FFFFFF"/>
          <w:lang w:val="en-US" w:eastAsia="zh-CN"/>
        </w:rPr>
        <w:t xml:space="preserve"> 国务院关于全面实施预算绩效管理的意见</w:t>
      </w:r>
      <w:r>
        <w:rPr>
          <w:rFonts w:hint="eastAsia" w:ascii="仿宋" w:hAnsi="仿宋" w:eastAsia="仿宋"/>
          <w:sz w:val="30"/>
          <w:szCs w:val="30"/>
          <w:shd w:val="clear" w:color="auto" w:fill="FFFFFF"/>
        </w:rPr>
        <w:t>》（</w:t>
      </w:r>
      <w:r>
        <w:rPr>
          <w:rFonts w:hint="eastAsia" w:ascii="仿宋" w:hAnsi="仿宋" w:eastAsia="仿宋"/>
          <w:sz w:val="30"/>
          <w:szCs w:val="30"/>
          <w:shd w:val="clear" w:color="auto" w:fill="FFFFFF"/>
          <w:lang w:eastAsia="zh-CN"/>
        </w:rPr>
        <w:t>中发</w:t>
      </w:r>
      <w:r>
        <w:rPr>
          <w:rFonts w:hint="eastAsia" w:ascii="仿宋" w:hAnsi="仿宋" w:eastAsia="仿宋"/>
          <w:sz w:val="30"/>
          <w:szCs w:val="30"/>
          <w:shd w:val="clear" w:color="auto" w:fill="FFFFFF"/>
        </w:rPr>
        <w:t>〔201</w:t>
      </w:r>
      <w:r>
        <w:rPr>
          <w:rFonts w:hint="eastAsia" w:ascii="仿宋" w:hAnsi="仿宋" w:eastAsia="仿宋"/>
          <w:sz w:val="30"/>
          <w:szCs w:val="30"/>
          <w:shd w:val="clear" w:color="auto" w:fill="FFFFFF"/>
          <w:lang w:val="en-US" w:eastAsia="zh-CN"/>
        </w:rPr>
        <w:t>8</w:t>
      </w:r>
      <w:r>
        <w:rPr>
          <w:rFonts w:hint="eastAsia" w:ascii="仿宋" w:hAnsi="仿宋" w:eastAsia="仿宋"/>
          <w:sz w:val="30"/>
          <w:szCs w:val="30"/>
          <w:shd w:val="clear" w:color="auto" w:fill="FFFFFF"/>
        </w:rPr>
        <w:t>〕</w:t>
      </w:r>
      <w:r>
        <w:rPr>
          <w:rFonts w:hint="eastAsia" w:ascii="仿宋" w:hAnsi="仿宋" w:eastAsia="仿宋"/>
          <w:sz w:val="30"/>
          <w:szCs w:val="30"/>
          <w:shd w:val="clear" w:color="auto" w:fill="FFFFFF"/>
          <w:lang w:val="en-US" w:eastAsia="zh-CN"/>
        </w:rPr>
        <w:t>34</w:t>
      </w:r>
      <w:r>
        <w:rPr>
          <w:rFonts w:hint="eastAsia" w:ascii="仿宋" w:hAnsi="仿宋" w:eastAsia="仿宋"/>
          <w:sz w:val="30"/>
          <w:szCs w:val="30"/>
          <w:shd w:val="clear" w:color="auto" w:fill="FFFFFF"/>
        </w:rPr>
        <w:t>号）、</w:t>
      </w:r>
      <w:r>
        <w:rPr>
          <w:rFonts w:hint="eastAsia" w:ascii="仿宋" w:hAnsi="仿宋" w:eastAsia="仿宋"/>
          <w:sz w:val="30"/>
          <w:szCs w:val="30"/>
        </w:rPr>
        <w:t>《预算绩效管理工作考核办法》（湘财绩〔2015〕15号）和</w:t>
      </w:r>
      <w:r>
        <w:rPr>
          <w:rFonts w:hint="eastAsia" w:ascii="仿宋" w:hAnsi="仿宋" w:eastAsia="仿宋"/>
          <w:sz w:val="30"/>
          <w:szCs w:val="30"/>
          <w:lang w:eastAsia="zh-CN"/>
        </w:rPr>
        <w:t>《省财政厅</w:t>
      </w:r>
      <w:r>
        <w:rPr>
          <w:rFonts w:hint="eastAsia" w:ascii="仿宋" w:hAnsi="仿宋" w:eastAsia="仿宋"/>
          <w:sz w:val="30"/>
          <w:szCs w:val="30"/>
          <w:lang w:val="en-US" w:eastAsia="zh-CN"/>
        </w:rPr>
        <w:t>2019年工作规划</w:t>
      </w:r>
      <w:r>
        <w:rPr>
          <w:rFonts w:hint="eastAsia" w:ascii="仿宋" w:hAnsi="仿宋" w:eastAsia="仿宋"/>
          <w:sz w:val="30"/>
          <w:szCs w:val="30"/>
          <w:lang w:eastAsia="zh-CN"/>
        </w:rPr>
        <w:t>》</w:t>
      </w:r>
      <w:r>
        <w:rPr>
          <w:rFonts w:hint="eastAsia" w:ascii="仿宋" w:hAnsi="仿宋" w:eastAsia="仿宋"/>
          <w:sz w:val="30"/>
          <w:szCs w:val="30"/>
        </w:rPr>
        <w:t>等文件</w:t>
      </w:r>
      <w:r>
        <w:rPr>
          <w:rFonts w:hint="eastAsia" w:ascii="仿宋" w:hAnsi="仿宋" w:eastAsia="仿宋"/>
          <w:sz w:val="30"/>
          <w:szCs w:val="30"/>
          <w:shd w:val="clear" w:color="auto" w:fill="FFFFFF"/>
        </w:rPr>
        <w:t>要求</w:t>
      </w:r>
      <w:r>
        <w:rPr>
          <w:rFonts w:hint="eastAsia" w:ascii="仿宋" w:hAnsi="仿宋" w:eastAsia="仿宋"/>
          <w:sz w:val="30"/>
          <w:szCs w:val="30"/>
        </w:rPr>
        <w:t>，受南县财政局的委托，我所成立</w:t>
      </w:r>
      <w:r>
        <w:rPr>
          <w:rFonts w:hint="eastAsia" w:ascii="仿宋" w:hAnsi="仿宋" w:eastAsia="仿宋"/>
          <w:sz w:val="30"/>
          <w:szCs w:val="30"/>
          <w:lang w:eastAsia="zh-CN"/>
        </w:rPr>
        <w:t>专项资金</w:t>
      </w:r>
      <w:r>
        <w:rPr>
          <w:rFonts w:hint="eastAsia" w:ascii="仿宋" w:hAnsi="仿宋" w:eastAsia="仿宋"/>
          <w:sz w:val="30"/>
          <w:szCs w:val="30"/>
        </w:rPr>
        <w:t>绩效评价工作组，于2019年4月26日—7月5日对2018年度</w:t>
      </w:r>
      <w:r>
        <w:rPr>
          <w:rFonts w:hint="eastAsia" w:ascii="仿宋" w:hAnsi="仿宋" w:eastAsia="仿宋"/>
          <w:sz w:val="30"/>
          <w:szCs w:val="30"/>
          <w:lang w:eastAsia="zh-CN"/>
        </w:rPr>
        <w:t>对南县广播电视台专用设备购置专项工作经费（</w:t>
      </w:r>
      <w:r>
        <w:rPr>
          <w:rFonts w:hint="eastAsia" w:ascii="仿宋" w:hAnsi="仿宋" w:eastAsia="仿宋"/>
          <w:sz w:val="30"/>
          <w:szCs w:val="30"/>
        </w:rPr>
        <w:t>以下简称项目资金）开展了绩效评价。现将有关情况报告如下：</w:t>
      </w:r>
    </w:p>
    <w:p>
      <w:pPr>
        <w:pStyle w:val="5"/>
        <w:ind w:firstLine="643" w:firstLineChars="200"/>
        <w:rPr>
          <w:b/>
          <w:sz w:val="32"/>
          <w:szCs w:val="32"/>
        </w:rPr>
      </w:pPr>
      <w:r>
        <w:rPr>
          <w:rFonts w:hint="eastAsia"/>
          <w:b/>
          <w:sz w:val="32"/>
          <w:szCs w:val="32"/>
        </w:rPr>
        <w:t>一、基本情况</w:t>
      </w:r>
    </w:p>
    <w:p>
      <w:pPr>
        <w:shd w:val="clear" w:color="auto" w:fill="FFFFFF"/>
        <w:spacing w:line="360" w:lineRule="atLeast"/>
        <w:ind w:firstLine="560" w:firstLineChars="200"/>
        <w:rPr>
          <w:rFonts w:ascii="仿宋" w:hAnsi="仿宋" w:eastAsia="仿宋" w:cs="宋体"/>
          <w:color w:val="555555"/>
          <w:kern w:val="0"/>
          <w:sz w:val="30"/>
          <w:szCs w:val="30"/>
        </w:rPr>
      </w:pPr>
      <w:r>
        <w:rPr>
          <w:rFonts w:hint="eastAsia" w:ascii="仿宋" w:hAnsi="仿宋" w:eastAsia="仿宋"/>
          <w:sz w:val="28"/>
          <w:szCs w:val="28"/>
          <w:lang w:val="en-US" w:eastAsia="zh-CN"/>
        </w:rPr>
        <w:t>(</w:t>
      </w:r>
      <w:r>
        <w:rPr>
          <w:rFonts w:hint="eastAsia" w:ascii="仿宋" w:hAnsi="仿宋" w:eastAsia="仿宋"/>
          <w:sz w:val="28"/>
          <w:szCs w:val="28"/>
        </w:rPr>
        <w:t>一</w:t>
      </w:r>
      <w:r>
        <w:rPr>
          <w:rFonts w:hint="eastAsia" w:ascii="仿宋" w:hAnsi="仿宋" w:eastAsia="仿宋"/>
          <w:sz w:val="28"/>
          <w:szCs w:val="28"/>
          <w:lang w:val="en-US" w:eastAsia="zh-CN"/>
        </w:rPr>
        <w:t>)</w:t>
      </w:r>
      <w:r>
        <w:rPr>
          <w:rFonts w:hint="eastAsia" w:ascii="仿宋" w:hAnsi="仿宋" w:eastAsia="仿宋"/>
          <w:sz w:val="30"/>
          <w:szCs w:val="30"/>
        </w:rPr>
        <w:t>项目单位基本情况。南县</w:t>
      </w:r>
      <w:r>
        <w:rPr>
          <w:rFonts w:hint="eastAsia" w:ascii="仿宋" w:hAnsi="仿宋" w:eastAsia="仿宋"/>
          <w:sz w:val="30"/>
          <w:szCs w:val="30"/>
          <w:lang w:eastAsia="zh-CN"/>
        </w:rPr>
        <w:t>广播电视台是南县人民政府直属正科级事业单位，归口县委宣传部管理，主要经营对广播电视事业进行管理，电视节目传输，有线电视的维护与管理。机关在职在编工作人员</w:t>
      </w:r>
      <w:r>
        <w:rPr>
          <w:rFonts w:hint="eastAsia" w:ascii="仿宋" w:hAnsi="仿宋" w:eastAsia="仿宋"/>
          <w:sz w:val="30"/>
          <w:szCs w:val="30"/>
          <w:lang w:val="en-US" w:eastAsia="zh-CN"/>
        </w:rPr>
        <w:t>120</w:t>
      </w:r>
      <w:r>
        <w:rPr>
          <w:rFonts w:hint="eastAsia" w:ascii="仿宋" w:hAnsi="仿宋" w:eastAsia="仿宋"/>
          <w:sz w:val="30"/>
          <w:szCs w:val="30"/>
          <w:lang w:eastAsia="zh-CN"/>
        </w:rPr>
        <w:t>人，全额事业编制</w:t>
      </w:r>
      <w:r>
        <w:rPr>
          <w:rFonts w:hint="eastAsia" w:ascii="仿宋" w:hAnsi="仿宋" w:eastAsia="仿宋"/>
          <w:sz w:val="30"/>
          <w:szCs w:val="30"/>
          <w:lang w:val="en-US" w:eastAsia="zh-CN"/>
        </w:rPr>
        <w:t>32人，差额事业编制67人，自收自支21人，退休人员10人(其中全额事业编制退休3人，差额事业编制退休7人)。台机关内设办公室、计财股、安保事业技术股3个股室，下设新闻中心，文艺广告部、新媒体拓展中心、南县人民广播电台、733电台、湖南有线南县网络有限公司、金网农村无线数字电视有限公司、南县电影发行放映公司等8个二级事业单位。</w:t>
      </w:r>
    </w:p>
    <w:p>
      <w:pPr>
        <w:shd w:val="clear" w:color="auto" w:fill="FFFFFF"/>
        <w:spacing w:line="360" w:lineRule="atLeast"/>
        <w:ind w:firstLine="560" w:firstLineChars="200"/>
        <w:rPr>
          <w:rFonts w:ascii="仿宋" w:hAnsi="仿宋" w:eastAsia="仿宋" w:cs="宋体"/>
          <w:color w:val="555555"/>
          <w:kern w:val="0"/>
          <w:sz w:val="30"/>
          <w:szCs w:val="30"/>
        </w:rPr>
      </w:pPr>
      <w:r>
        <w:rPr>
          <w:rFonts w:hint="eastAsia" w:ascii="仿宋" w:hAnsi="仿宋" w:eastAsia="仿宋"/>
          <w:sz w:val="28"/>
          <w:szCs w:val="28"/>
          <w:lang w:val="en-US" w:eastAsia="zh-CN"/>
        </w:rPr>
        <w:t>(</w:t>
      </w:r>
      <w:r>
        <w:rPr>
          <w:rFonts w:hint="eastAsia" w:ascii="仿宋" w:hAnsi="仿宋" w:eastAsia="仿宋"/>
          <w:sz w:val="28"/>
          <w:szCs w:val="28"/>
          <w:lang w:eastAsia="zh-CN"/>
        </w:rPr>
        <w:t>二</w:t>
      </w:r>
      <w:r>
        <w:rPr>
          <w:rFonts w:hint="eastAsia" w:ascii="仿宋" w:hAnsi="仿宋" w:eastAsia="仿宋"/>
          <w:sz w:val="28"/>
          <w:szCs w:val="28"/>
          <w:lang w:val="en-US" w:eastAsia="zh-CN"/>
        </w:rPr>
        <w:t>)</w:t>
      </w:r>
      <w:r>
        <w:rPr>
          <w:rFonts w:hint="eastAsia" w:ascii="仿宋" w:hAnsi="仿宋" w:eastAsia="仿宋"/>
          <w:sz w:val="30"/>
          <w:szCs w:val="30"/>
        </w:rPr>
        <w:t>项目基本情况。</w:t>
      </w:r>
      <w:r>
        <w:rPr>
          <w:rFonts w:hint="eastAsia" w:ascii="仿宋" w:hAnsi="仿宋" w:eastAsia="仿宋"/>
          <w:sz w:val="30"/>
          <w:szCs w:val="30"/>
          <w:lang w:eastAsia="zh-CN"/>
        </w:rPr>
        <w:t>纳入</w:t>
      </w:r>
      <w:r>
        <w:rPr>
          <w:rFonts w:hint="eastAsia" w:ascii="仿宋" w:hAnsi="仿宋" w:eastAsia="仿宋"/>
          <w:sz w:val="30"/>
          <w:szCs w:val="30"/>
        </w:rPr>
        <w:t>本次绩效评价的项目名称为</w:t>
      </w:r>
      <w:r>
        <w:rPr>
          <w:rFonts w:hint="eastAsia" w:ascii="仿宋" w:hAnsi="仿宋" w:eastAsia="仿宋"/>
          <w:sz w:val="30"/>
          <w:szCs w:val="30"/>
          <w:lang w:eastAsia="zh-CN"/>
        </w:rPr>
        <w:t>南县广播电视台专用设备购置专项：因现有设备老化淘汰、专用设备非编播控设备更新快，为保证南县电视台电视信号播出数字化、高清化，提高收视率、扩大南县区域影响，</w:t>
      </w:r>
      <w:r>
        <w:rPr>
          <w:rFonts w:hint="eastAsia" w:ascii="仿宋" w:hAnsi="仿宋" w:eastAsia="仿宋" w:cs="仿宋"/>
          <w:sz w:val="30"/>
          <w:szCs w:val="30"/>
        </w:rPr>
        <w:t>为此南县财政局安排了</w:t>
      </w:r>
      <w:r>
        <w:rPr>
          <w:rFonts w:hint="eastAsia" w:ascii="仿宋" w:hAnsi="仿宋" w:eastAsia="仿宋" w:cs="仿宋"/>
          <w:sz w:val="30"/>
          <w:szCs w:val="30"/>
          <w:lang w:val="en-US" w:eastAsia="zh-CN"/>
        </w:rPr>
        <w:t>83.35</w:t>
      </w:r>
      <w:r>
        <w:rPr>
          <w:rFonts w:hint="eastAsia" w:ascii="仿宋" w:hAnsi="仿宋" w:eastAsia="仿宋" w:cs="仿宋"/>
          <w:sz w:val="30"/>
          <w:szCs w:val="30"/>
        </w:rPr>
        <w:t>万元的</w:t>
      </w:r>
      <w:r>
        <w:rPr>
          <w:rFonts w:hint="eastAsia" w:ascii="仿宋" w:hAnsi="仿宋" w:eastAsia="仿宋"/>
          <w:sz w:val="30"/>
          <w:szCs w:val="30"/>
          <w:lang w:eastAsia="zh-CN"/>
        </w:rPr>
        <w:t>专用设备购置专项</w:t>
      </w:r>
      <w:r>
        <w:rPr>
          <w:rFonts w:hint="eastAsia" w:ascii="仿宋" w:hAnsi="仿宋" w:eastAsia="仿宋" w:cs="仿宋"/>
          <w:sz w:val="30"/>
          <w:szCs w:val="30"/>
        </w:rPr>
        <w:t>经费</w:t>
      </w:r>
      <w:r>
        <w:rPr>
          <w:rFonts w:hint="eastAsia" w:ascii="仿宋" w:hAnsi="仿宋" w:eastAsia="仿宋"/>
          <w:sz w:val="30"/>
          <w:szCs w:val="30"/>
          <w:lang w:val="en-US" w:eastAsia="zh-CN"/>
        </w:rPr>
        <w:t>。</w:t>
      </w:r>
    </w:p>
    <w:p>
      <w:pPr>
        <w:pStyle w:val="2"/>
        <w:shd w:val="clear" w:color="auto" w:fill="FFFFFF"/>
        <w:spacing w:before="0" w:beforeAutospacing="0" w:after="0" w:afterAutospacing="0"/>
        <w:ind w:firstLine="482"/>
        <w:rPr>
          <w:rFonts w:hint="default" w:ascii="仿宋" w:hAnsi="仿宋" w:eastAsia="仿宋"/>
          <w:sz w:val="30"/>
          <w:szCs w:val="30"/>
          <w:lang w:val="en-US" w:eastAsia="zh-CN"/>
        </w:rPr>
      </w:pPr>
      <w:r>
        <w:rPr>
          <w:rFonts w:hint="eastAsia" w:ascii="仿宋" w:hAnsi="仿宋" w:eastAsia="仿宋"/>
          <w:sz w:val="28"/>
          <w:szCs w:val="28"/>
          <w:lang w:val="en-US" w:eastAsia="zh-CN"/>
        </w:rPr>
        <w:t>(</w:t>
      </w:r>
      <w:r>
        <w:rPr>
          <w:rFonts w:hint="eastAsia" w:ascii="仿宋" w:hAnsi="仿宋" w:eastAsia="仿宋"/>
          <w:sz w:val="28"/>
          <w:szCs w:val="28"/>
          <w:lang w:eastAsia="zh-CN"/>
        </w:rPr>
        <w:t>三</w:t>
      </w:r>
      <w:r>
        <w:rPr>
          <w:rFonts w:hint="eastAsia" w:ascii="仿宋" w:hAnsi="仿宋" w:eastAsia="仿宋"/>
          <w:sz w:val="28"/>
          <w:szCs w:val="28"/>
          <w:lang w:val="en-US" w:eastAsia="zh-CN"/>
        </w:rPr>
        <w:t>)</w:t>
      </w:r>
      <w:r>
        <w:rPr>
          <w:rFonts w:hint="eastAsia" w:ascii="仿宋" w:hAnsi="仿宋" w:eastAsia="仿宋"/>
          <w:sz w:val="30"/>
          <w:szCs w:val="30"/>
        </w:rPr>
        <w:t>绩效目标完成情况</w:t>
      </w:r>
      <w:r>
        <w:rPr>
          <w:rFonts w:hint="eastAsia" w:ascii="仿宋" w:hAnsi="仿宋" w:eastAsia="仿宋"/>
          <w:sz w:val="30"/>
          <w:szCs w:val="30"/>
          <w:lang w:eastAsia="zh-CN"/>
        </w:rPr>
        <w:t>：南县广播电视台向杭州奥点科技股份有限公司购入采编录播设备一批；向长沙创新威特数码技术有限公司购入广告部专用设备一批；分别向湖南双菱电子科技有限公司、湖南瑞恒科技产品有限公司购入电台专用设备一批；分别向长沙瑞刊电子科技有限公司、长沙恒宇数码产品有限公司购入新闻媒体专用设备一批</w:t>
      </w:r>
      <w:r>
        <w:rPr>
          <w:rFonts w:hint="eastAsia" w:ascii="仿宋" w:hAnsi="仿宋" w:eastAsia="仿宋"/>
          <w:sz w:val="30"/>
          <w:szCs w:val="30"/>
          <w:lang w:val="en-US" w:eastAsia="zh-CN"/>
        </w:rPr>
        <w:t>。</w:t>
      </w:r>
    </w:p>
    <w:p>
      <w:pPr>
        <w:ind w:firstLine="643" w:firstLineChars="200"/>
        <w:rPr>
          <w:rFonts w:asciiTheme="majorEastAsia" w:hAnsiTheme="majorEastAsia" w:eastAsiaTheme="majorEastAsia"/>
          <w:b/>
          <w:sz w:val="32"/>
          <w:szCs w:val="32"/>
        </w:rPr>
      </w:pPr>
      <w:r>
        <w:rPr>
          <w:rFonts w:hint="eastAsia" w:asciiTheme="majorEastAsia" w:hAnsiTheme="majorEastAsia" w:eastAsiaTheme="majorEastAsia"/>
          <w:b/>
          <w:sz w:val="32"/>
          <w:szCs w:val="32"/>
        </w:rPr>
        <w:t>二、项目资金使用及管理情况</w:t>
      </w:r>
    </w:p>
    <w:p>
      <w:pPr>
        <w:ind w:firstLine="560" w:firstLineChars="200"/>
        <w:rPr>
          <w:rFonts w:hint="eastAsia" w:ascii="仿宋" w:hAnsi="仿宋" w:eastAsia="仿宋"/>
          <w:sz w:val="30"/>
          <w:szCs w:val="30"/>
          <w:lang w:eastAsia="zh-CN"/>
        </w:rPr>
      </w:pPr>
      <w:r>
        <w:rPr>
          <w:rFonts w:hint="eastAsia" w:ascii="仿宋" w:hAnsi="仿宋" w:eastAsia="仿宋"/>
          <w:sz w:val="28"/>
          <w:szCs w:val="28"/>
          <w:lang w:val="en-US" w:eastAsia="zh-CN"/>
        </w:rPr>
        <w:t>(</w:t>
      </w:r>
      <w:r>
        <w:rPr>
          <w:rFonts w:hint="eastAsia" w:ascii="仿宋" w:hAnsi="仿宋" w:eastAsia="仿宋"/>
          <w:sz w:val="28"/>
          <w:szCs w:val="28"/>
        </w:rPr>
        <w:t>一</w:t>
      </w:r>
      <w:r>
        <w:rPr>
          <w:rFonts w:hint="eastAsia" w:ascii="仿宋" w:hAnsi="仿宋" w:eastAsia="仿宋"/>
          <w:sz w:val="28"/>
          <w:szCs w:val="28"/>
          <w:lang w:val="en-US" w:eastAsia="zh-CN"/>
        </w:rPr>
        <w:t>)</w:t>
      </w:r>
      <w:r>
        <w:rPr>
          <w:rFonts w:hint="eastAsia" w:ascii="仿宋" w:hAnsi="仿宋" w:eastAsia="仿宋"/>
          <w:sz w:val="30"/>
          <w:szCs w:val="30"/>
        </w:rPr>
        <w:t>项目资金到位</w:t>
      </w:r>
      <w:r>
        <w:rPr>
          <w:rFonts w:hint="eastAsia" w:ascii="仿宋" w:hAnsi="仿宋" w:eastAsia="仿宋"/>
          <w:sz w:val="30"/>
          <w:szCs w:val="30"/>
          <w:lang w:eastAsia="zh-CN"/>
        </w:rPr>
        <w:t>及使用</w:t>
      </w:r>
      <w:r>
        <w:rPr>
          <w:rFonts w:hint="eastAsia" w:ascii="仿宋" w:hAnsi="仿宋" w:eastAsia="仿宋"/>
          <w:sz w:val="30"/>
          <w:szCs w:val="30"/>
        </w:rPr>
        <w:t>情况。</w:t>
      </w:r>
      <w:r>
        <w:rPr>
          <w:rFonts w:hint="eastAsia" w:ascii="仿宋" w:hAnsi="仿宋" w:eastAsia="仿宋"/>
          <w:sz w:val="30"/>
          <w:szCs w:val="30"/>
          <w:lang w:eastAsia="zh-CN"/>
        </w:rPr>
        <w:t>南县广播电视台</w:t>
      </w:r>
      <w:r>
        <w:rPr>
          <w:rFonts w:hint="eastAsia" w:ascii="仿宋" w:hAnsi="仿宋" w:eastAsia="仿宋"/>
          <w:sz w:val="30"/>
          <w:szCs w:val="30"/>
          <w:lang w:val="en-US" w:eastAsia="zh-CN"/>
        </w:rPr>
        <w:t>2018年县本级预算安排专用设备购置专项工作经费833,500.00元，实际使用708,410.00元，结余125,090.00元。资金使用率为84.99%</w:t>
      </w:r>
      <w:r>
        <w:rPr>
          <w:rFonts w:hint="eastAsia" w:ascii="仿宋" w:hAnsi="仿宋" w:eastAsia="仿宋"/>
          <w:sz w:val="30"/>
          <w:szCs w:val="30"/>
        </w:rPr>
        <w:t>。</w:t>
      </w:r>
      <w:r>
        <w:rPr>
          <w:rFonts w:hint="eastAsia" w:ascii="仿宋" w:hAnsi="仿宋" w:eastAsia="仿宋"/>
          <w:sz w:val="30"/>
          <w:szCs w:val="30"/>
          <w:lang w:eastAsia="zh-CN"/>
        </w:rPr>
        <w:t>资金由财政部门按季预拔，年终结算的方式分批拨付，至年底预算金额资金已全部下拨，下拨率100%，项目开支明细如下：</w:t>
      </w:r>
    </w:p>
    <w:tbl>
      <w:tblPr>
        <w:tblStyle w:val="3"/>
        <w:tblW w:w="10380" w:type="dxa"/>
        <w:tblInd w:w="-812" w:type="dxa"/>
        <w:shd w:val="clear" w:color="auto" w:fill="auto"/>
        <w:tblLayout w:type="fixed"/>
        <w:tblCellMar>
          <w:top w:w="0" w:type="dxa"/>
          <w:left w:w="0" w:type="dxa"/>
          <w:bottom w:w="0" w:type="dxa"/>
          <w:right w:w="0" w:type="dxa"/>
        </w:tblCellMar>
      </w:tblPr>
      <w:tblGrid>
        <w:gridCol w:w="1320"/>
        <w:gridCol w:w="915"/>
        <w:gridCol w:w="1050"/>
        <w:gridCol w:w="1305"/>
        <w:gridCol w:w="930"/>
        <w:gridCol w:w="2895"/>
        <w:gridCol w:w="1965"/>
      </w:tblGrid>
      <w:tr>
        <w:tblPrEx>
          <w:shd w:val="clear" w:color="auto" w:fill="auto"/>
          <w:tblLayout w:type="fixed"/>
          <w:tblCellMar>
            <w:top w:w="0" w:type="dxa"/>
            <w:left w:w="0" w:type="dxa"/>
            <w:bottom w:w="0" w:type="dxa"/>
            <w:right w:w="0" w:type="dxa"/>
          </w:tblCellMar>
        </w:tblPrEx>
        <w:trPr>
          <w:trHeight w:val="360" w:hRule="atLeast"/>
        </w:trPr>
        <w:tc>
          <w:tcPr>
            <w:tcW w:w="1320" w:type="dxa"/>
            <w:tcBorders>
              <w:top w:val="single" w:color="000000" w:sz="8"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时间</w:t>
            </w:r>
          </w:p>
        </w:tc>
        <w:tc>
          <w:tcPr>
            <w:tcW w:w="915" w:type="dxa"/>
            <w:tcBorders>
              <w:top w:val="single" w:color="000000" w:sz="8"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经济分类</w:t>
            </w:r>
          </w:p>
        </w:tc>
        <w:tc>
          <w:tcPr>
            <w:tcW w:w="1050" w:type="dxa"/>
            <w:tcBorders>
              <w:top w:val="single" w:color="000000" w:sz="8"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用途</w:t>
            </w:r>
          </w:p>
        </w:tc>
        <w:tc>
          <w:tcPr>
            <w:tcW w:w="1305" w:type="dxa"/>
            <w:tcBorders>
              <w:top w:val="single" w:color="000000" w:sz="8"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c>
          <w:tcPr>
            <w:tcW w:w="930" w:type="dxa"/>
            <w:tcBorders>
              <w:top w:val="single" w:color="000000" w:sz="8"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付款人</w:t>
            </w:r>
          </w:p>
        </w:tc>
        <w:tc>
          <w:tcPr>
            <w:tcW w:w="2895" w:type="dxa"/>
            <w:tcBorders>
              <w:top w:val="single" w:color="000000" w:sz="8"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收款人</w:t>
            </w:r>
          </w:p>
        </w:tc>
        <w:tc>
          <w:tcPr>
            <w:tcW w:w="1965" w:type="dxa"/>
            <w:tcBorders>
              <w:top w:val="single" w:color="000000" w:sz="8" w:space="0"/>
              <w:left w:val="single" w:color="000000" w:sz="4" w:space="0"/>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购置物品</w:t>
            </w:r>
          </w:p>
        </w:tc>
      </w:tr>
      <w:tr>
        <w:tblPrEx>
          <w:tblLayout w:type="fixed"/>
          <w:tblCellMar>
            <w:top w:w="0" w:type="dxa"/>
            <w:left w:w="0" w:type="dxa"/>
            <w:bottom w:w="0" w:type="dxa"/>
            <w:right w:w="0" w:type="dxa"/>
          </w:tblCellMar>
        </w:tblPrEx>
        <w:trPr>
          <w:trHeight w:val="360" w:hRule="atLeast"/>
        </w:trPr>
        <w:tc>
          <w:tcPr>
            <w:tcW w:w="1320"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2018/10/16</w:t>
            </w:r>
          </w:p>
        </w:tc>
        <w:tc>
          <w:tcPr>
            <w:tcW w:w="9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其他商品服务支出</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付费用</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149,300.00 </w:t>
            </w:r>
          </w:p>
        </w:tc>
        <w:tc>
          <w:tcPr>
            <w:tcW w:w="93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南县国库集中支付中心</w:t>
            </w:r>
          </w:p>
        </w:tc>
        <w:tc>
          <w:tcPr>
            <w:tcW w:w="28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杭州奥点科技股份有限公司</w:t>
            </w:r>
          </w:p>
        </w:tc>
        <w:tc>
          <w:tcPr>
            <w:tcW w:w="1965" w:type="dxa"/>
            <w:tcBorders>
              <w:top w:val="single" w:color="000000" w:sz="4" w:space="0"/>
              <w:left w:val="single" w:color="000000" w:sz="4" w:space="0"/>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采编录播设备一批</w:t>
            </w:r>
          </w:p>
        </w:tc>
      </w:tr>
      <w:tr>
        <w:tblPrEx>
          <w:tblLayout w:type="fixed"/>
          <w:tblCellMar>
            <w:top w:w="0" w:type="dxa"/>
            <w:left w:w="0" w:type="dxa"/>
            <w:bottom w:w="0" w:type="dxa"/>
            <w:right w:w="0" w:type="dxa"/>
          </w:tblCellMar>
        </w:tblPrEx>
        <w:trPr>
          <w:trHeight w:val="360" w:hRule="atLeast"/>
        </w:trPr>
        <w:tc>
          <w:tcPr>
            <w:tcW w:w="1320"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2018/11/29</w:t>
            </w:r>
          </w:p>
        </w:tc>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付费用</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83,400.00 </w:t>
            </w: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8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长沙创新威特数码技术有限公司</w:t>
            </w:r>
          </w:p>
        </w:tc>
        <w:tc>
          <w:tcPr>
            <w:tcW w:w="1965" w:type="dxa"/>
            <w:tcBorders>
              <w:top w:val="single" w:color="000000" w:sz="4" w:space="0"/>
              <w:left w:val="single" w:color="000000" w:sz="4" w:space="0"/>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广告部专用设备一批</w:t>
            </w:r>
          </w:p>
        </w:tc>
      </w:tr>
      <w:tr>
        <w:tblPrEx>
          <w:tblLayout w:type="fixed"/>
          <w:tblCellMar>
            <w:top w:w="0" w:type="dxa"/>
            <w:left w:w="0" w:type="dxa"/>
            <w:bottom w:w="0" w:type="dxa"/>
            <w:right w:w="0" w:type="dxa"/>
          </w:tblCellMar>
        </w:tblPrEx>
        <w:trPr>
          <w:trHeight w:val="360" w:hRule="atLeast"/>
        </w:trPr>
        <w:tc>
          <w:tcPr>
            <w:tcW w:w="1320"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2018/12/25</w:t>
            </w:r>
          </w:p>
        </w:tc>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付费用</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148,000.00 </w:t>
            </w: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8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湖南双菱电子科技有限公司</w:t>
            </w:r>
          </w:p>
        </w:tc>
        <w:tc>
          <w:tcPr>
            <w:tcW w:w="1965" w:type="dxa"/>
            <w:tcBorders>
              <w:top w:val="single" w:color="000000" w:sz="4" w:space="0"/>
              <w:left w:val="single" w:color="000000" w:sz="4" w:space="0"/>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电台专用设备一批</w:t>
            </w:r>
          </w:p>
        </w:tc>
      </w:tr>
      <w:tr>
        <w:tblPrEx>
          <w:tblLayout w:type="fixed"/>
          <w:tblCellMar>
            <w:top w:w="0" w:type="dxa"/>
            <w:left w:w="0" w:type="dxa"/>
            <w:bottom w:w="0" w:type="dxa"/>
            <w:right w:w="0" w:type="dxa"/>
          </w:tblCellMar>
        </w:tblPrEx>
        <w:trPr>
          <w:trHeight w:val="360" w:hRule="atLeast"/>
        </w:trPr>
        <w:tc>
          <w:tcPr>
            <w:tcW w:w="1320"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2018/12/26</w:t>
            </w:r>
          </w:p>
        </w:tc>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付费用</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121,080.00 </w:t>
            </w: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8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湖南瑞恒科技产品有限公司</w:t>
            </w:r>
          </w:p>
        </w:tc>
        <w:tc>
          <w:tcPr>
            <w:tcW w:w="1965" w:type="dxa"/>
            <w:tcBorders>
              <w:top w:val="single" w:color="000000" w:sz="4" w:space="0"/>
              <w:left w:val="single" w:color="000000" w:sz="4" w:space="0"/>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电台专用设备一批</w:t>
            </w:r>
          </w:p>
        </w:tc>
      </w:tr>
      <w:tr>
        <w:tblPrEx>
          <w:tblLayout w:type="fixed"/>
          <w:tblCellMar>
            <w:top w:w="0" w:type="dxa"/>
            <w:left w:w="0" w:type="dxa"/>
            <w:bottom w:w="0" w:type="dxa"/>
            <w:right w:w="0" w:type="dxa"/>
          </w:tblCellMar>
        </w:tblPrEx>
        <w:trPr>
          <w:trHeight w:val="360" w:hRule="atLeast"/>
        </w:trPr>
        <w:tc>
          <w:tcPr>
            <w:tcW w:w="1320"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2018/12/26</w:t>
            </w:r>
          </w:p>
        </w:tc>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付费用</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61,630.00 </w:t>
            </w: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8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长沙瑞刊电子科技有限公司</w:t>
            </w:r>
          </w:p>
        </w:tc>
        <w:tc>
          <w:tcPr>
            <w:tcW w:w="1965" w:type="dxa"/>
            <w:vMerge w:val="restart"/>
            <w:tcBorders>
              <w:top w:val="single" w:color="000000" w:sz="4" w:space="0"/>
              <w:left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新闻媒体专用设备一批</w:t>
            </w:r>
          </w:p>
        </w:tc>
      </w:tr>
      <w:tr>
        <w:tblPrEx>
          <w:tblLayout w:type="fixed"/>
          <w:tblCellMar>
            <w:top w:w="0" w:type="dxa"/>
            <w:left w:w="0" w:type="dxa"/>
            <w:bottom w:w="0" w:type="dxa"/>
            <w:right w:w="0" w:type="dxa"/>
          </w:tblCellMar>
        </w:tblPrEx>
        <w:trPr>
          <w:trHeight w:val="360" w:hRule="atLeast"/>
        </w:trPr>
        <w:tc>
          <w:tcPr>
            <w:tcW w:w="1320"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2018/12/26</w:t>
            </w:r>
          </w:p>
        </w:tc>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付费用</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145,000.00 </w:t>
            </w: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8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长沙恒宇数码产品有限公司</w:t>
            </w:r>
          </w:p>
        </w:tc>
        <w:tc>
          <w:tcPr>
            <w:tcW w:w="1965" w:type="dxa"/>
            <w:vMerge w:val="continue"/>
            <w:tcBorders>
              <w:left w:val="single" w:color="000000" w:sz="4" w:space="0"/>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60" w:hRule="atLeast"/>
        </w:trPr>
        <w:tc>
          <w:tcPr>
            <w:tcW w:w="1320" w:type="dxa"/>
            <w:tcBorders>
              <w:top w:val="single" w:color="000000" w:sz="4" w:space="0"/>
              <w:left w:val="single" w:color="000000" w:sz="8" w:space="0"/>
              <w:bottom w:val="single" w:color="000000" w:sz="8"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915" w:type="dxa"/>
            <w:tcBorders>
              <w:top w:val="single" w:color="000000" w:sz="4" w:space="0"/>
              <w:left w:val="single" w:color="000000" w:sz="4" w:space="0"/>
              <w:bottom w:val="single" w:color="000000" w:sz="8"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050" w:type="dxa"/>
            <w:tcBorders>
              <w:top w:val="single" w:color="000000" w:sz="4" w:space="0"/>
              <w:left w:val="single" w:color="000000" w:sz="4" w:space="0"/>
              <w:bottom w:val="single" w:color="000000" w:sz="8"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305" w:type="dxa"/>
            <w:tcBorders>
              <w:top w:val="single" w:color="000000" w:sz="4" w:space="0"/>
              <w:left w:val="single" w:color="000000" w:sz="4" w:space="0"/>
              <w:bottom w:val="single" w:color="000000" w:sz="8"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708,410.00 </w:t>
            </w:r>
          </w:p>
        </w:tc>
        <w:tc>
          <w:tcPr>
            <w:tcW w:w="930" w:type="dxa"/>
            <w:tcBorders>
              <w:top w:val="single" w:color="000000" w:sz="4" w:space="0"/>
              <w:left w:val="single" w:color="000000" w:sz="4" w:space="0"/>
              <w:bottom w:val="single" w:color="000000" w:sz="8"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2895" w:type="dxa"/>
            <w:tcBorders>
              <w:top w:val="single" w:color="000000" w:sz="4" w:space="0"/>
              <w:left w:val="single" w:color="000000" w:sz="4" w:space="0"/>
              <w:bottom w:val="single" w:color="000000" w:sz="8"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965" w:type="dxa"/>
            <w:tcBorders>
              <w:top w:val="single" w:color="000000" w:sz="4" w:space="0"/>
              <w:left w:val="single" w:color="000000" w:sz="4" w:space="0"/>
              <w:bottom w:val="single" w:color="000000" w:sz="8" w:space="0"/>
              <w:right w:val="single" w:color="000000" w:sz="8"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bl>
    <w:p>
      <w:pPr>
        <w:ind w:firstLine="560" w:firstLineChars="200"/>
        <w:rPr>
          <w:rFonts w:ascii="仿宋" w:hAnsi="仿宋" w:eastAsia="仿宋"/>
          <w:sz w:val="30"/>
          <w:szCs w:val="30"/>
        </w:rPr>
      </w:pPr>
      <w:r>
        <w:rPr>
          <w:rFonts w:hint="eastAsia" w:ascii="仿宋" w:hAnsi="仿宋" w:eastAsia="仿宋"/>
          <w:sz w:val="28"/>
          <w:szCs w:val="28"/>
          <w:lang w:val="en-US" w:eastAsia="zh-CN"/>
        </w:rPr>
        <w:t>(</w:t>
      </w:r>
      <w:r>
        <w:rPr>
          <w:rFonts w:hint="eastAsia" w:ascii="仿宋" w:hAnsi="仿宋" w:eastAsia="仿宋"/>
          <w:sz w:val="28"/>
          <w:szCs w:val="28"/>
          <w:lang w:eastAsia="zh-CN"/>
        </w:rPr>
        <w:t>二</w:t>
      </w:r>
      <w:r>
        <w:rPr>
          <w:rFonts w:hint="eastAsia" w:ascii="仿宋" w:hAnsi="仿宋" w:eastAsia="仿宋"/>
          <w:sz w:val="28"/>
          <w:szCs w:val="28"/>
          <w:lang w:val="en-US" w:eastAsia="zh-CN"/>
        </w:rPr>
        <w:t>)</w:t>
      </w:r>
      <w:r>
        <w:rPr>
          <w:rFonts w:hint="eastAsia" w:ascii="仿宋" w:hAnsi="仿宋" w:eastAsia="仿宋"/>
          <w:sz w:val="30"/>
          <w:szCs w:val="30"/>
        </w:rPr>
        <w:t>项目资金管理情况。</w:t>
      </w:r>
      <w:r>
        <w:rPr>
          <w:rFonts w:hint="eastAsia" w:ascii="仿宋" w:hAnsi="仿宋" w:eastAsia="仿宋"/>
          <w:sz w:val="30"/>
          <w:szCs w:val="30"/>
          <w:lang w:eastAsia="zh-CN"/>
        </w:rPr>
        <w:t>该项目资金使用先由南县广播电视台与各设备供应方签订合同（购置金额达到政府采购标准的实施政府采购程序），再由南县广播电视台向南县财政局申请拨款，南县财政局根据南县广播电视台的支付申请将款项直接拨付给各设备供应单位，费用报销程序基本合规，资金管理到位</w:t>
      </w:r>
      <w:r>
        <w:rPr>
          <w:rFonts w:hint="eastAsia" w:ascii="仿宋" w:hAnsi="仿宋" w:eastAsia="仿宋"/>
          <w:sz w:val="30"/>
          <w:szCs w:val="30"/>
        </w:rPr>
        <w:t>。</w:t>
      </w:r>
    </w:p>
    <w:p>
      <w:pPr>
        <w:ind w:firstLine="480"/>
        <w:rPr>
          <w:rFonts w:asciiTheme="majorEastAsia" w:hAnsiTheme="majorEastAsia" w:eastAsiaTheme="majorEastAsia"/>
          <w:b/>
          <w:sz w:val="32"/>
          <w:szCs w:val="32"/>
        </w:rPr>
      </w:pPr>
      <w:r>
        <w:rPr>
          <w:rFonts w:hint="eastAsia" w:asciiTheme="majorEastAsia" w:hAnsiTheme="majorEastAsia" w:eastAsiaTheme="majorEastAsia"/>
          <w:b/>
          <w:sz w:val="32"/>
          <w:szCs w:val="32"/>
        </w:rPr>
        <w:t>三、项目组织实施情况</w:t>
      </w:r>
    </w:p>
    <w:p>
      <w:pPr>
        <w:ind w:firstLine="480"/>
        <w:rPr>
          <w:rFonts w:ascii="仿宋" w:hAnsi="仿宋" w:eastAsia="仿宋"/>
          <w:sz w:val="30"/>
          <w:szCs w:val="30"/>
        </w:rPr>
      </w:pPr>
      <w:r>
        <w:rPr>
          <w:rFonts w:hint="eastAsia" w:ascii="仿宋" w:hAnsi="仿宋" w:eastAsia="仿宋"/>
          <w:sz w:val="30"/>
          <w:szCs w:val="30"/>
        </w:rPr>
        <w:t xml:space="preserve"> </w:t>
      </w:r>
      <w:r>
        <w:rPr>
          <w:rFonts w:hint="eastAsia" w:ascii="仿宋" w:hAnsi="仿宋" w:eastAsia="仿宋"/>
          <w:sz w:val="28"/>
          <w:szCs w:val="28"/>
          <w:lang w:val="en-US" w:eastAsia="zh-CN"/>
        </w:rPr>
        <w:t>(</w:t>
      </w:r>
      <w:r>
        <w:rPr>
          <w:rFonts w:hint="eastAsia" w:ascii="仿宋" w:hAnsi="仿宋" w:eastAsia="仿宋"/>
          <w:sz w:val="28"/>
          <w:szCs w:val="28"/>
        </w:rPr>
        <w:t>一</w:t>
      </w:r>
      <w:r>
        <w:rPr>
          <w:rFonts w:hint="eastAsia" w:ascii="仿宋" w:hAnsi="仿宋" w:eastAsia="仿宋"/>
          <w:sz w:val="28"/>
          <w:szCs w:val="28"/>
          <w:lang w:val="en-US" w:eastAsia="zh-CN"/>
        </w:rPr>
        <w:t>)</w:t>
      </w:r>
      <w:r>
        <w:rPr>
          <w:rFonts w:hint="eastAsia" w:ascii="仿宋" w:hAnsi="仿宋" w:eastAsia="仿宋"/>
          <w:sz w:val="30"/>
          <w:szCs w:val="30"/>
        </w:rPr>
        <w:t>制度建设情况。</w:t>
      </w:r>
      <w:r>
        <w:rPr>
          <w:rFonts w:hint="eastAsia" w:ascii="仿宋" w:hAnsi="仿宋" w:eastAsia="仿宋"/>
          <w:sz w:val="30"/>
          <w:szCs w:val="30"/>
          <w:lang w:eastAsia="zh-CN"/>
        </w:rPr>
        <w:t>为进一步规范财政资金管理，强化财政资金支出绩效理念，切实提高财政资金使用效益，南县广播电视台成立了预算绩效管理工作领导小组；制订</w:t>
      </w:r>
      <w:r>
        <w:rPr>
          <w:rFonts w:hint="eastAsia" w:ascii="仿宋" w:hAnsi="仿宋" w:eastAsia="仿宋"/>
          <w:sz w:val="30"/>
          <w:szCs w:val="30"/>
          <w:lang w:val="en-US" w:eastAsia="zh-CN"/>
        </w:rPr>
        <w:t>了《南县广播电视台财务工作规章制度》以及《南县广播电视台专项资金管理办法》等资金管理制度，要求实行“专人管理、专账核算、专项使用”的管理办法，指定专人负责项目资金的支出审核与监管，提高财政资金使用效益。</w:t>
      </w:r>
    </w:p>
    <w:p>
      <w:pPr>
        <w:ind w:firstLine="480"/>
        <w:rPr>
          <w:rFonts w:hint="eastAsia" w:ascii="仿宋" w:hAnsi="仿宋" w:eastAsia="仿宋"/>
          <w:sz w:val="30"/>
          <w:szCs w:val="30"/>
          <w:lang w:val="en-US" w:eastAsia="zh-CN"/>
        </w:rPr>
      </w:pPr>
      <w:r>
        <w:rPr>
          <w:rFonts w:hint="eastAsia" w:ascii="仿宋" w:hAnsi="仿宋" w:eastAsia="仿宋"/>
          <w:sz w:val="30"/>
          <w:szCs w:val="30"/>
        </w:rPr>
        <w:t xml:space="preserve"> </w:t>
      </w:r>
      <w:r>
        <w:rPr>
          <w:rFonts w:hint="eastAsia" w:ascii="仿宋" w:hAnsi="仿宋" w:eastAsia="仿宋"/>
          <w:sz w:val="28"/>
          <w:szCs w:val="28"/>
          <w:lang w:val="en-US" w:eastAsia="zh-CN"/>
        </w:rPr>
        <w:t>(二)</w:t>
      </w:r>
      <w:r>
        <w:rPr>
          <w:rFonts w:hint="eastAsia" w:ascii="仿宋" w:hAnsi="仿宋" w:eastAsia="仿宋"/>
          <w:sz w:val="30"/>
          <w:szCs w:val="30"/>
        </w:rPr>
        <w:t>项目实施情况。</w:t>
      </w:r>
      <w:r>
        <w:rPr>
          <w:rFonts w:hint="eastAsia" w:ascii="仿宋" w:hAnsi="仿宋" w:eastAsia="仿宋"/>
          <w:sz w:val="30"/>
          <w:szCs w:val="30"/>
          <w:lang w:eastAsia="zh-CN"/>
        </w:rPr>
        <w:t>项目资金的使用和报销等都基本上遵循了上述规章制度和管理办法的要求，手续及流程较为规范，专项工作经费的支出建立了专户，但专项资金的拔入未按规定专户核算。</w:t>
      </w:r>
    </w:p>
    <w:p>
      <w:pPr>
        <w:ind w:firstLine="643" w:firstLineChars="200"/>
        <w:rPr>
          <w:rFonts w:asciiTheme="majorEastAsia" w:hAnsiTheme="majorEastAsia" w:eastAsiaTheme="majorEastAsia"/>
          <w:b/>
          <w:sz w:val="32"/>
          <w:szCs w:val="32"/>
        </w:rPr>
      </w:pPr>
      <w:r>
        <w:rPr>
          <w:rFonts w:hint="eastAsia" w:asciiTheme="majorEastAsia" w:hAnsiTheme="majorEastAsia" w:eastAsiaTheme="majorEastAsia"/>
          <w:b/>
          <w:sz w:val="32"/>
          <w:szCs w:val="32"/>
        </w:rPr>
        <w:t>四、绩效评价工作情况</w:t>
      </w:r>
    </w:p>
    <w:p>
      <w:pPr>
        <w:ind w:firstLine="560" w:firstLineChars="200"/>
        <w:rPr>
          <w:rFonts w:ascii="仿宋" w:hAnsi="仿宋" w:eastAsia="仿宋"/>
          <w:sz w:val="28"/>
          <w:szCs w:val="28"/>
        </w:rPr>
      </w:pPr>
      <w:r>
        <w:rPr>
          <w:rFonts w:hint="eastAsia" w:ascii="仿宋" w:hAnsi="仿宋" w:eastAsia="仿宋"/>
          <w:sz w:val="28"/>
          <w:szCs w:val="28"/>
          <w:lang w:val="en-US" w:eastAsia="zh-CN"/>
        </w:rPr>
        <w:t>(</w:t>
      </w:r>
      <w:r>
        <w:rPr>
          <w:rFonts w:hint="eastAsia" w:ascii="仿宋" w:hAnsi="仿宋" w:eastAsia="仿宋"/>
          <w:sz w:val="28"/>
          <w:szCs w:val="28"/>
        </w:rPr>
        <w:t>一</w:t>
      </w:r>
      <w:r>
        <w:rPr>
          <w:rFonts w:hint="eastAsia" w:ascii="仿宋" w:hAnsi="仿宋" w:eastAsia="仿宋"/>
          <w:sz w:val="28"/>
          <w:szCs w:val="28"/>
          <w:lang w:val="en-US" w:eastAsia="zh-CN"/>
        </w:rPr>
        <w:t>)</w:t>
      </w:r>
      <w:r>
        <w:rPr>
          <w:rFonts w:hint="eastAsia" w:ascii="仿宋" w:hAnsi="仿宋" w:eastAsia="仿宋"/>
          <w:sz w:val="28"/>
          <w:szCs w:val="28"/>
        </w:rPr>
        <w:t>绩效评价目的</w:t>
      </w:r>
    </w:p>
    <w:p>
      <w:pPr>
        <w:ind w:firstLine="560" w:firstLineChars="200"/>
        <w:rPr>
          <w:rFonts w:ascii="仿宋" w:hAnsi="仿宋" w:eastAsia="仿宋"/>
          <w:sz w:val="28"/>
          <w:szCs w:val="28"/>
        </w:rPr>
      </w:pPr>
      <w:r>
        <w:rPr>
          <w:rFonts w:hint="eastAsia" w:ascii="仿宋" w:hAnsi="仿宋" w:eastAsia="仿宋"/>
          <w:sz w:val="28"/>
          <w:szCs w:val="28"/>
        </w:rPr>
        <w:t>通过绩效评价全面分析该项目资金使用、管理和项目实施情况，进一步规范</w:t>
      </w:r>
      <w:r>
        <w:rPr>
          <w:rFonts w:hint="eastAsia" w:ascii="仿宋" w:hAnsi="仿宋" w:eastAsia="仿宋"/>
          <w:sz w:val="28"/>
          <w:szCs w:val="28"/>
          <w:lang w:eastAsia="zh-CN"/>
        </w:rPr>
        <w:t>专用设备购置专项经费使用、管理制度</w:t>
      </w:r>
      <w:r>
        <w:rPr>
          <w:rFonts w:hint="eastAsia" w:ascii="仿宋" w:hAnsi="仿宋" w:eastAsia="仿宋"/>
          <w:sz w:val="28"/>
          <w:szCs w:val="28"/>
        </w:rPr>
        <w:t>，</w:t>
      </w:r>
      <w:r>
        <w:rPr>
          <w:rFonts w:hint="eastAsia" w:ascii="仿宋" w:hAnsi="仿宋" w:eastAsia="仿宋"/>
          <w:sz w:val="28"/>
          <w:szCs w:val="28"/>
          <w:lang w:eastAsia="zh-CN"/>
        </w:rPr>
        <w:t>强化财政资金支出绩效理念，</w:t>
      </w:r>
      <w:r>
        <w:rPr>
          <w:rFonts w:hint="eastAsia" w:ascii="仿宋" w:hAnsi="仿宋" w:eastAsia="仿宋"/>
          <w:sz w:val="28"/>
          <w:szCs w:val="28"/>
        </w:rPr>
        <w:t>切实提高财政资金使用效益。</w:t>
      </w:r>
    </w:p>
    <w:p>
      <w:pPr>
        <w:ind w:firstLine="560" w:firstLineChars="200"/>
        <w:rPr>
          <w:rFonts w:ascii="仿宋" w:hAnsi="仿宋" w:eastAsia="仿宋"/>
          <w:sz w:val="28"/>
          <w:szCs w:val="28"/>
        </w:rPr>
      </w:pPr>
      <w:r>
        <w:rPr>
          <w:rFonts w:hint="eastAsia" w:ascii="仿宋" w:hAnsi="仿宋" w:eastAsia="仿宋"/>
          <w:sz w:val="28"/>
          <w:szCs w:val="28"/>
          <w:lang w:val="en-US" w:eastAsia="zh-CN"/>
        </w:rPr>
        <w:t>(</w:t>
      </w:r>
      <w:r>
        <w:rPr>
          <w:rFonts w:hint="eastAsia" w:ascii="仿宋" w:hAnsi="仿宋" w:eastAsia="仿宋"/>
          <w:sz w:val="28"/>
          <w:szCs w:val="28"/>
          <w:lang w:eastAsia="zh-CN"/>
        </w:rPr>
        <w:t>二</w:t>
      </w:r>
      <w:r>
        <w:rPr>
          <w:rFonts w:hint="eastAsia" w:ascii="仿宋" w:hAnsi="仿宋" w:eastAsia="仿宋"/>
          <w:sz w:val="28"/>
          <w:szCs w:val="28"/>
          <w:lang w:val="en-US" w:eastAsia="zh-CN"/>
        </w:rPr>
        <w:t>)</w:t>
      </w:r>
      <w:r>
        <w:rPr>
          <w:rFonts w:hint="eastAsia" w:ascii="仿宋" w:hAnsi="仿宋" w:eastAsia="仿宋"/>
          <w:sz w:val="28"/>
          <w:szCs w:val="28"/>
        </w:rPr>
        <w:t>绩效评价工作过程。</w:t>
      </w:r>
    </w:p>
    <w:p>
      <w:pPr>
        <w:ind w:firstLine="480"/>
        <w:rPr>
          <w:rFonts w:ascii="仿宋" w:hAnsi="仿宋" w:eastAsia="仿宋"/>
          <w:sz w:val="28"/>
          <w:szCs w:val="28"/>
        </w:rPr>
      </w:pPr>
      <w:r>
        <w:rPr>
          <w:rFonts w:hint="eastAsia" w:ascii="仿宋" w:hAnsi="仿宋" w:eastAsia="仿宋"/>
          <w:sz w:val="28"/>
          <w:szCs w:val="28"/>
        </w:rPr>
        <w:t>根据</w:t>
      </w:r>
      <w:r>
        <w:rPr>
          <w:rFonts w:hint="eastAsia" w:ascii="仿宋" w:hAnsi="仿宋" w:eastAsia="仿宋"/>
          <w:sz w:val="28"/>
          <w:szCs w:val="28"/>
          <w:lang w:eastAsia="zh-CN"/>
        </w:rPr>
        <w:t>南县财政局</w:t>
      </w:r>
      <w:r>
        <w:rPr>
          <w:rFonts w:hint="eastAsia" w:ascii="仿宋" w:hAnsi="仿宋" w:eastAsia="仿宋"/>
          <w:sz w:val="30"/>
          <w:szCs w:val="30"/>
          <w:shd w:val="clear" w:color="auto" w:fill="FFFFFF"/>
        </w:rPr>
        <w:t>《</w:t>
      </w:r>
      <w:r>
        <w:rPr>
          <w:rFonts w:hint="eastAsia" w:ascii="仿宋" w:hAnsi="仿宋" w:eastAsia="仿宋"/>
          <w:sz w:val="28"/>
          <w:szCs w:val="28"/>
          <w:lang w:eastAsia="zh-CN"/>
        </w:rPr>
        <w:t>关于对</w:t>
      </w:r>
      <w:r>
        <w:rPr>
          <w:rFonts w:hint="eastAsia" w:ascii="仿宋" w:hAnsi="仿宋" w:eastAsia="仿宋"/>
          <w:sz w:val="28"/>
          <w:szCs w:val="28"/>
          <w:lang w:val="en-US" w:eastAsia="zh-CN"/>
        </w:rPr>
        <w:t>2018年度县本级专项资金开展重点绩效评价工作的通知</w:t>
      </w:r>
      <w:r>
        <w:rPr>
          <w:rFonts w:hint="eastAsia" w:ascii="仿宋" w:hAnsi="仿宋" w:eastAsia="仿宋"/>
          <w:sz w:val="30"/>
          <w:szCs w:val="30"/>
          <w:shd w:val="clear" w:color="auto" w:fill="FFFFFF"/>
        </w:rPr>
        <w:t>》</w:t>
      </w:r>
      <w:r>
        <w:rPr>
          <w:rFonts w:hint="eastAsia" w:ascii="仿宋" w:hAnsi="仿宋" w:eastAsia="仿宋"/>
          <w:sz w:val="28"/>
          <w:szCs w:val="28"/>
          <w:lang w:val="en-US" w:eastAsia="zh-CN"/>
        </w:rPr>
        <w:t>(</w:t>
      </w:r>
      <w:r>
        <w:rPr>
          <w:rFonts w:hint="eastAsia" w:ascii="仿宋" w:hAnsi="仿宋" w:eastAsia="仿宋"/>
          <w:sz w:val="28"/>
          <w:szCs w:val="28"/>
        </w:rPr>
        <w:t>南财绩函</w:t>
      </w:r>
      <w:r>
        <w:rPr>
          <w:rFonts w:hint="eastAsia" w:ascii="仿宋" w:hAnsi="仿宋" w:eastAsia="仿宋"/>
          <w:sz w:val="28"/>
          <w:szCs w:val="28"/>
          <w:lang w:val="en-US" w:eastAsia="zh-CN"/>
        </w:rPr>
        <w:t>[</w:t>
      </w:r>
      <w:r>
        <w:rPr>
          <w:rFonts w:hint="eastAsia" w:ascii="仿宋" w:hAnsi="仿宋" w:eastAsia="仿宋"/>
          <w:sz w:val="28"/>
          <w:szCs w:val="28"/>
        </w:rPr>
        <w:t>2019</w:t>
      </w:r>
      <w:r>
        <w:rPr>
          <w:rFonts w:hint="eastAsia" w:ascii="仿宋" w:hAnsi="仿宋" w:eastAsia="仿宋"/>
          <w:sz w:val="28"/>
          <w:szCs w:val="28"/>
          <w:lang w:val="en-US" w:eastAsia="zh-CN"/>
        </w:rPr>
        <w:t>]</w:t>
      </w:r>
      <w:r>
        <w:rPr>
          <w:rFonts w:hint="eastAsia" w:ascii="仿宋" w:hAnsi="仿宋" w:eastAsia="仿宋"/>
          <w:sz w:val="28"/>
          <w:szCs w:val="28"/>
        </w:rPr>
        <w:t>14号</w:t>
      </w:r>
      <w:r>
        <w:rPr>
          <w:rFonts w:hint="eastAsia" w:ascii="仿宋" w:hAnsi="仿宋" w:eastAsia="仿宋"/>
          <w:sz w:val="28"/>
          <w:szCs w:val="28"/>
          <w:lang w:val="en-US" w:eastAsia="zh-CN"/>
        </w:rPr>
        <w:t>)</w:t>
      </w:r>
      <w:r>
        <w:rPr>
          <w:rFonts w:hint="eastAsia" w:ascii="仿宋" w:hAnsi="仿宋" w:eastAsia="仿宋"/>
          <w:sz w:val="28"/>
          <w:szCs w:val="28"/>
        </w:rPr>
        <w:t>文件要求，我所按下列步骤开展了绩效评价工作。</w:t>
      </w:r>
    </w:p>
    <w:p>
      <w:pPr>
        <w:pStyle w:val="5"/>
        <w:ind w:firstLine="560" w:firstLineChars="200"/>
        <w:rPr>
          <w:rFonts w:ascii="仿宋" w:hAnsi="仿宋" w:eastAsia="仿宋"/>
          <w:sz w:val="28"/>
          <w:szCs w:val="28"/>
        </w:rPr>
      </w:pPr>
      <w:r>
        <w:rPr>
          <w:rFonts w:hint="eastAsia" w:ascii="仿宋" w:hAnsi="仿宋" w:eastAsia="仿宋"/>
          <w:sz w:val="28"/>
          <w:szCs w:val="28"/>
        </w:rPr>
        <w:t>1、前期准备。我所抽调专人成立了绩效评价工作组，明确了工作职责，制定了现场评价方案，设计了相关表格，联系了相关部门和单位，确定了实施时间。</w:t>
      </w:r>
    </w:p>
    <w:p>
      <w:pPr>
        <w:pStyle w:val="5"/>
        <w:ind w:firstLine="480"/>
        <w:rPr>
          <w:rFonts w:ascii="仿宋" w:hAnsi="仿宋" w:eastAsia="仿宋"/>
          <w:sz w:val="28"/>
          <w:szCs w:val="28"/>
        </w:rPr>
      </w:pPr>
      <w:r>
        <w:rPr>
          <w:rFonts w:hint="eastAsia" w:ascii="仿宋" w:hAnsi="仿宋" w:eastAsia="仿宋"/>
          <w:sz w:val="28"/>
          <w:szCs w:val="28"/>
        </w:rPr>
        <w:t>2、实施情况。项目绩效评价实施步骤：（1）召开座谈会。组织项目单位</w:t>
      </w:r>
      <w:r>
        <w:rPr>
          <w:rFonts w:hint="eastAsia" w:ascii="仿宋" w:hAnsi="仿宋" w:eastAsia="仿宋"/>
          <w:sz w:val="28"/>
          <w:szCs w:val="28"/>
          <w:lang w:eastAsia="zh-CN"/>
        </w:rPr>
        <w:t>管理层</w:t>
      </w:r>
      <w:r>
        <w:rPr>
          <w:rFonts w:hint="eastAsia" w:ascii="仿宋" w:hAnsi="仿宋" w:eastAsia="仿宋"/>
          <w:sz w:val="28"/>
          <w:szCs w:val="28"/>
        </w:rPr>
        <w:t>、</w:t>
      </w:r>
      <w:r>
        <w:rPr>
          <w:rFonts w:hint="eastAsia" w:ascii="仿宋" w:hAnsi="仿宋" w:eastAsia="仿宋"/>
          <w:sz w:val="28"/>
          <w:szCs w:val="28"/>
          <w:lang w:eastAsia="zh-CN"/>
        </w:rPr>
        <w:t>责任人员</w:t>
      </w:r>
      <w:r>
        <w:rPr>
          <w:rFonts w:hint="eastAsia" w:ascii="仿宋" w:hAnsi="仿宋" w:eastAsia="仿宋"/>
          <w:sz w:val="28"/>
          <w:szCs w:val="28"/>
        </w:rPr>
        <w:t>及</w:t>
      </w:r>
      <w:r>
        <w:rPr>
          <w:rFonts w:hint="eastAsia" w:ascii="仿宋" w:hAnsi="仿宋" w:eastAsia="仿宋"/>
          <w:sz w:val="28"/>
          <w:szCs w:val="28"/>
          <w:lang w:eastAsia="zh-CN"/>
        </w:rPr>
        <w:t>相关</w:t>
      </w:r>
      <w:r>
        <w:rPr>
          <w:rFonts w:hint="eastAsia" w:ascii="仿宋" w:hAnsi="仿宋" w:eastAsia="仿宋"/>
          <w:sz w:val="28"/>
          <w:szCs w:val="28"/>
        </w:rPr>
        <w:t>代表召开座谈会，听取该项目有关情况介绍。（2）收集核查资料。收集该项目相关文件和项目单位相关制度等资料；核查相关制度是否完善，项目支出是否合规，资金拨付手续是否齐全，是否存在截留、挪用等情况。（3）现场查看。进入实地查看，调查走访，发放问卷调查。（4）</w:t>
      </w:r>
      <w:r>
        <w:rPr>
          <w:rFonts w:hint="eastAsia" w:ascii="仿宋" w:hAnsi="仿宋" w:eastAsia="仿宋"/>
          <w:sz w:val="28"/>
          <w:szCs w:val="28"/>
          <w:lang w:eastAsia="zh-CN"/>
        </w:rPr>
        <w:t>归纳汇总。对提供材料及自评报告，结合现场评价情况进行综合分析、归纳汇总。</w:t>
      </w:r>
      <w:r>
        <w:rPr>
          <w:rFonts w:hint="eastAsia" w:ascii="仿宋" w:hAnsi="仿宋" w:eastAsia="仿宋"/>
          <w:sz w:val="28"/>
          <w:szCs w:val="28"/>
        </w:rPr>
        <w:t>（</w:t>
      </w:r>
      <w:r>
        <w:rPr>
          <w:rFonts w:hint="eastAsia" w:ascii="仿宋" w:hAnsi="仿宋" w:eastAsia="仿宋"/>
          <w:sz w:val="28"/>
          <w:szCs w:val="28"/>
          <w:lang w:val="en-US" w:eastAsia="zh-CN"/>
        </w:rPr>
        <w:t>5</w:t>
      </w:r>
      <w:r>
        <w:rPr>
          <w:rFonts w:hint="eastAsia" w:ascii="仿宋" w:hAnsi="仿宋" w:eastAsia="仿宋"/>
          <w:sz w:val="28"/>
          <w:szCs w:val="28"/>
        </w:rPr>
        <w:t>）得出评价结论，形成绩效评价报告。</w:t>
      </w:r>
    </w:p>
    <w:p>
      <w:pPr>
        <w:pStyle w:val="5"/>
        <w:ind w:firstLine="480"/>
        <w:rPr>
          <w:rFonts w:asciiTheme="majorEastAsia" w:hAnsiTheme="majorEastAsia" w:eastAsiaTheme="majorEastAsia"/>
          <w:b/>
          <w:sz w:val="32"/>
          <w:szCs w:val="32"/>
        </w:rPr>
      </w:pPr>
      <w:r>
        <w:rPr>
          <w:rFonts w:hint="eastAsia" w:asciiTheme="majorEastAsia" w:hAnsiTheme="majorEastAsia" w:eastAsiaTheme="majorEastAsia"/>
          <w:b/>
          <w:sz w:val="32"/>
          <w:szCs w:val="32"/>
        </w:rPr>
        <w:t>五、绩效评价结果和主要绩效</w:t>
      </w:r>
    </w:p>
    <w:p>
      <w:pPr>
        <w:pStyle w:val="5"/>
        <w:ind w:firstLine="480"/>
        <w:rPr>
          <w:rFonts w:ascii="仿宋" w:hAnsi="仿宋" w:eastAsia="仿宋"/>
          <w:sz w:val="28"/>
          <w:szCs w:val="28"/>
        </w:rPr>
      </w:pPr>
      <w:r>
        <w:rPr>
          <w:rFonts w:hint="eastAsia" w:ascii="仿宋" w:hAnsi="仿宋" w:eastAsia="仿宋"/>
          <w:sz w:val="28"/>
          <w:szCs w:val="28"/>
        </w:rPr>
        <w:t>根据该项目资金绩效评价指标体系和绩效检查情况，该项目</w:t>
      </w:r>
      <w:r>
        <w:rPr>
          <w:rFonts w:hint="eastAsia" w:ascii="仿宋" w:hAnsi="仿宋" w:eastAsia="仿宋"/>
          <w:sz w:val="28"/>
          <w:szCs w:val="28"/>
          <w:lang w:val="en-US" w:eastAsia="zh-CN"/>
        </w:rPr>
        <w:t>2018年专项</w:t>
      </w:r>
      <w:r>
        <w:rPr>
          <w:rFonts w:hint="eastAsia" w:ascii="仿宋" w:hAnsi="仿宋" w:eastAsia="仿宋"/>
          <w:sz w:val="28"/>
          <w:szCs w:val="28"/>
        </w:rPr>
        <w:t>绩效</w:t>
      </w:r>
      <w:r>
        <w:rPr>
          <w:rFonts w:hint="eastAsia" w:ascii="仿宋" w:hAnsi="仿宋" w:eastAsia="仿宋"/>
          <w:sz w:val="28"/>
          <w:szCs w:val="28"/>
          <w:lang w:eastAsia="zh-CN"/>
        </w:rPr>
        <w:t>评价</w:t>
      </w:r>
      <w:r>
        <w:rPr>
          <w:rFonts w:hint="eastAsia" w:ascii="仿宋" w:hAnsi="仿宋" w:eastAsia="仿宋"/>
          <w:sz w:val="28"/>
          <w:szCs w:val="28"/>
        </w:rPr>
        <w:t>分值100</w:t>
      </w:r>
      <w:r>
        <w:rPr>
          <w:rFonts w:hint="eastAsia" w:ascii="仿宋" w:hAnsi="仿宋" w:eastAsia="仿宋"/>
          <w:sz w:val="28"/>
          <w:szCs w:val="28"/>
          <w:lang w:eastAsia="zh-CN"/>
        </w:rPr>
        <w:t>分</w:t>
      </w:r>
      <w:r>
        <w:rPr>
          <w:rFonts w:hint="eastAsia" w:ascii="仿宋" w:hAnsi="仿宋" w:eastAsia="仿宋"/>
          <w:sz w:val="28"/>
          <w:szCs w:val="28"/>
        </w:rPr>
        <w:t>，实得</w:t>
      </w:r>
      <w:r>
        <w:rPr>
          <w:rFonts w:hint="eastAsia" w:ascii="仿宋" w:hAnsi="仿宋" w:eastAsia="仿宋"/>
          <w:sz w:val="28"/>
          <w:szCs w:val="28"/>
          <w:lang w:val="en-US" w:eastAsia="zh-CN"/>
        </w:rPr>
        <w:t>72</w:t>
      </w:r>
      <w:r>
        <w:rPr>
          <w:rFonts w:hint="eastAsia" w:ascii="仿宋" w:hAnsi="仿宋" w:eastAsia="仿宋"/>
          <w:sz w:val="28"/>
          <w:szCs w:val="28"/>
        </w:rPr>
        <w:t>分</w:t>
      </w:r>
      <w:r>
        <w:rPr>
          <w:rFonts w:hint="eastAsia" w:ascii="仿宋" w:hAnsi="仿宋" w:eastAsia="仿宋"/>
          <w:sz w:val="28"/>
          <w:szCs w:val="28"/>
          <w:lang w:val="en-US" w:eastAsia="zh-CN"/>
        </w:rPr>
        <w:t>,</w:t>
      </w:r>
      <w:bookmarkStart w:id="0" w:name="_GoBack"/>
      <w:bookmarkEnd w:id="0"/>
      <w:r>
        <w:rPr>
          <w:rFonts w:hint="eastAsia" w:ascii="仿宋" w:hAnsi="仿宋" w:eastAsia="仿宋"/>
          <w:sz w:val="28"/>
          <w:szCs w:val="28"/>
        </w:rPr>
        <w:t>被评为“</w:t>
      </w:r>
      <w:r>
        <w:rPr>
          <w:rFonts w:hint="eastAsia" w:ascii="仿宋" w:hAnsi="仿宋" w:eastAsia="仿宋"/>
          <w:sz w:val="28"/>
          <w:szCs w:val="28"/>
          <w:lang w:eastAsia="zh-CN"/>
        </w:rPr>
        <w:t>合格</w:t>
      </w:r>
      <w:r>
        <w:rPr>
          <w:rFonts w:hint="eastAsia" w:ascii="仿宋" w:hAnsi="仿宋" w:eastAsia="仿宋"/>
          <w:sz w:val="28"/>
          <w:szCs w:val="28"/>
        </w:rPr>
        <w:t>”</w:t>
      </w:r>
      <w:r>
        <w:rPr>
          <w:rFonts w:hint="eastAsia" w:ascii="仿宋" w:hAnsi="仿宋" w:eastAsia="仿宋"/>
          <w:sz w:val="28"/>
          <w:szCs w:val="28"/>
          <w:lang w:eastAsia="zh-CN"/>
        </w:rPr>
        <w:t>等级</w:t>
      </w:r>
      <w:r>
        <w:rPr>
          <w:rFonts w:hint="eastAsia" w:ascii="仿宋" w:hAnsi="仿宋" w:eastAsia="仿宋"/>
          <w:sz w:val="28"/>
          <w:szCs w:val="28"/>
          <w:lang w:val="en-US" w:eastAsia="zh-CN"/>
        </w:rPr>
        <w:t>(详见：南县广播电视台2018年专用设备购置专项工作经费绩效评价指标评分表)。</w:t>
      </w:r>
      <w:r>
        <w:rPr>
          <w:rFonts w:hint="eastAsia" w:ascii="仿宋" w:hAnsi="仿宋" w:eastAsia="仿宋"/>
          <w:sz w:val="28"/>
          <w:szCs w:val="28"/>
        </w:rPr>
        <w:t>主要绩效表现在以下几个方面：</w:t>
      </w:r>
    </w:p>
    <w:p>
      <w:pPr>
        <w:pStyle w:val="5"/>
        <w:ind w:firstLine="480"/>
        <w:rPr>
          <w:rFonts w:hint="eastAsia" w:ascii="仿宋" w:hAnsi="仿宋" w:eastAsia="仿宋"/>
          <w:sz w:val="28"/>
          <w:szCs w:val="28"/>
        </w:rPr>
      </w:pPr>
      <w:r>
        <w:rPr>
          <w:rFonts w:hint="eastAsia" w:ascii="仿宋" w:hAnsi="仿宋" w:eastAsia="仿宋"/>
          <w:sz w:val="28"/>
          <w:szCs w:val="28"/>
        </w:rPr>
        <w:t>一是</w:t>
      </w:r>
      <w:r>
        <w:rPr>
          <w:rFonts w:hint="eastAsia" w:ascii="仿宋" w:hAnsi="仿宋" w:eastAsia="仿宋"/>
          <w:sz w:val="28"/>
          <w:szCs w:val="28"/>
          <w:lang w:eastAsia="zh-CN"/>
        </w:rPr>
        <w:t>保证了南县新闻报道播出工作的正常运转。南县广播电视台作为县内主流媒体，承担着对内对外新闻宣传和发展广电事业的责任。专用设备的购置使</w:t>
      </w:r>
      <w:r>
        <w:rPr>
          <w:rFonts w:hint="eastAsia" w:ascii="仿宋" w:hAnsi="仿宋" w:eastAsia="仿宋"/>
          <w:sz w:val="28"/>
          <w:szCs w:val="28"/>
        </w:rPr>
        <w:t>节目数量和质量迅速提升，适应市场环境的企业化、产业化、市场化运作模式探索取得重要成果，电视资产建设工作取得了标志性的进展。</w:t>
      </w:r>
    </w:p>
    <w:p>
      <w:pPr>
        <w:pStyle w:val="5"/>
        <w:ind w:firstLine="480"/>
        <w:rPr>
          <w:rFonts w:hint="default" w:ascii="仿宋" w:hAnsi="仿宋" w:eastAsia="仿宋"/>
          <w:sz w:val="28"/>
          <w:szCs w:val="28"/>
          <w:lang w:val="en-US" w:eastAsia="zh-CN"/>
        </w:rPr>
      </w:pPr>
      <w:r>
        <w:rPr>
          <w:rFonts w:hint="eastAsia" w:ascii="仿宋" w:hAnsi="仿宋" w:eastAsia="仿宋"/>
          <w:sz w:val="28"/>
          <w:szCs w:val="28"/>
          <w:lang w:eastAsia="zh-CN"/>
        </w:rPr>
        <w:t>二是提升南县主流媒体宣传功效起到了强有力的推动作用。设备的购置保证了新闻报道的高质量播出，提升节目水平，为“洞庭明珠、生态南县”形象做出贡献。</w:t>
      </w:r>
    </w:p>
    <w:p>
      <w:pPr>
        <w:pStyle w:val="5"/>
        <w:numPr>
          <w:ilvl w:val="0"/>
          <w:numId w:val="1"/>
        </w:numPr>
        <w:ind w:firstLine="480"/>
        <w:rPr>
          <w:rFonts w:hint="eastAsia" w:asciiTheme="majorEastAsia" w:hAnsiTheme="majorEastAsia" w:eastAsiaTheme="majorEastAsia"/>
          <w:b/>
          <w:sz w:val="32"/>
          <w:szCs w:val="32"/>
        </w:rPr>
      </w:pPr>
      <w:r>
        <w:rPr>
          <w:rFonts w:hint="eastAsia" w:asciiTheme="majorEastAsia" w:hAnsiTheme="majorEastAsia" w:eastAsiaTheme="majorEastAsia"/>
          <w:b/>
          <w:sz w:val="32"/>
          <w:szCs w:val="32"/>
        </w:rPr>
        <w:t>存在的主要问题</w:t>
      </w:r>
    </w:p>
    <w:p>
      <w:pPr>
        <w:pStyle w:val="5"/>
        <w:numPr>
          <w:ilvl w:val="0"/>
          <w:numId w:val="0"/>
        </w:numPr>
        <w:ind w:firstLine="600" w:firstLineChars="200"/>
        <w:rPr>
          <w:rFonts w:hint="default" w:asciiTheme="majorEastAsia" w:hAnsiTheme="majorEastAsia" w:eastAsiaTheme="majorEastAsia"/>
          <w:b w:val="0"/>
          <w:bCs/>
          <w:sz w:val="30"/>
          <w:szCs w:val="30"/>
          <w:lang w:val="en-US" w:eastAsia="zh-CN"/>
        </w:rPr>
      </w:pPr>
      <w:r>
        <w:rPr>
          <w:rFonts w:hint="eastAsia" w:ascii="仿宋" w:hAnsi="仿宋" w:eastAsia="仿宋" w:cs="仿宋"/>
          <w:b w:val="0"/>
          <w:bCs/>
          <w:sz w:val="30"/>
          <w:szCs w:val="30"/>
          <w:lang w:eastAsia="zh-CN"/>
        </w:rPr>
        <w:t>南县广播电视台</w:t>
      </w:r>
      <w:r>
        <w:rPr>
          <w:rFonts w:hint="eastAsia" w:ascii="仿宋" w:hAnsi="仿宋" w:eastAsia="仿宋" w:cs="仿宋"/>
          <w:b w:val="0"/>
          <w:bCs/>
          <w:sz w:val="30"/>
          <w:szCs w:val="30"/>
          <w:lang w:val="en-US" w:eastAsia="zh-CN"/>
        </w:rPr>
        <w:t>2018年专用设备购置专项工作经费在项目决策上合理，实施过程中领导重视，责任分工明确，管理规范，较好的达到了预期的绩效目标，但有些方面仍有不足，主要有：</w:t>
      </w:r>
    </w:p>
    <w:p>
      <w:pPr>
        <w:pStyle w:val="5"/>
        <w:ind w:firstLine="600" w:firstLineChars="200"/>
        <w:rPr>
          <w:rFonts w:hint="eastAsia" w:ascii="仿宋" w:hAnsi="仿宋" w:eastAsia="仿宋"/>
          <w:sz w:val="30"/>
          <w:szCs w:val="30"/>
        </w:rPr>
      </w:pPr>
      <w:r>
        <w:rPr>
          <w:rFonts w:hint="eastAsia" w:ascii="仿宋" w:hAnsi="仿宋" w:eastAsia="仿宋"/>
          <w:sz w:val="30"/>
          <w:szCs w:val="30"/>
          <w:lang w:val="en-US" w:eastAsia="zh-CN"/>
        </w:rPr>
        <w:t>(</w:t>
      </w:r>
      <w:r>
        <w:rPr>
          <w:rFonts w:hint="eastAsia" w:ascii="仿宋" w:hAnsi="仿宋" w:eastAsia="仿宋"/>
          <w:sz w:val="30"/>
          <w:szCs w:val="30"/>
        </w:rPr>
        <w:t>一</w:t>
      </w:r>
      <w:r>
        <w:rPr>
          <w:rFonts w:hint="eastAsia" w:ascii="仿宋" w:hAnsi="仿宋" w:eastAsia="仿宋"/>
          <w:sz w:val="30"/>
          <w:szCs w:val="30"/>
          <w:lang w:val="en-US" w:eastAsia="zh-CN"/>
        </w:rPr>
        <w:t>)绩效目标申报工作有待完善。2018年度《专项资金绩效目标申报表》中</w:t>
      </w:r>
      <w:r>
        <w:rPr>
          <w:rFonts w:hint="eastAsia" w:ascii="仿宋" w:hAnsi="仿宋" w:eastAsia="仿宋" w:cs="仿宋"/>
          <w:b w:val="0"/>
          <w:bCs/>
          <w:sz w:val="30"/>
          <w:szCs w:val="30"/>
          <w:lang w:val="en-US" w:eastAsia="zh-CN"/>
        </w:rPr>
        <w:t>专用设备购置</w:t>
      </w:r>
      <w:r>
        <w:rPr>
          <w:rFonts w:hint="eastAsia" w:ascii="仿宋" w:hAnsi="仿宋" w:eastAsia="仿宋"/>
          <w:sz w:val="30"/>
          <w:szCs w:val="30"/>
          <w:lang w:val="en-US" w:eastAsia="zh-CN"/>
        </w:rPr>
        <w:t>专项各指标尽管已细化或量化，但量化的确指性不强，</w:t>
      </w:r>
      <w:r>
        <w:rPr>
          <w:rFonts w:hint="eastAsia" w:ascii="仿宋" w:hAnsi="仿宋" w:eastAsia="仿宋"/>
          <w:sz w:val="30"/>
          <w:szCs w:val="30"/>
        </w:rPr>
        <w:t>项目绩效目标编制有待进一步规范。如产出数量指标</w:t>
      </w:r>
      <w:r>
        <w:rPr>
          <w:rFonts w:hint="eastAsia" w:ascii="仿宋" w:hAnsi="仿宋" w:eastAsia="仿宋"/>
          <w:sz w:val="30"/>
          <w:szCs w:val="30"/>
          <w:lang w:val="en-US" w:eastAsia="zh-CN"/>
        </w:rPr>
        <w:t>83.358</w:t>
      </w:r>
      <w:r>
        <w:rPr>
          <w:rFonts w:hint="eastAsia" w:ascii="仿宋" w:hAnsi="仿宋" w:eastAsia="仿宋"/>
          <w:sz w:val="30"/>
          <w:szCs w:val="30"/>
        </w:rPr>
        <w:t>万元应填列于指标值中，指标值中却填列的是质化指标100%。</w:t>
      </w:r>
    </w:p>
    <w:p>
      <w:pPr>
        <w:pStyle w:val="5"/>
        <w:ind w:firstLine="560" w:firstLineChars="200"/>
        <w:rPr>
          <w:rFonts w:hint="eastAsia" w:ascii="仿宋" w:hAnsi="仿宋" w:eastAsia="仿宋"/>
          <w:sz w:val="30"/>
          <w:szCs w:val="30"/>
        </w:rPr>
      </w:pPr>
      <w:r>
        <w:rPr>
          <w:rFonts w:hint="eastAsia" w:ascii="仿宋" w:hAnsi="仿宋" w:eastAsia="仿宋"/>
          <w:sz w:val="28"/>
          <w:szCs w:val="28"/>
          <w:lang w:val="en-US" w:eastAsia="zh-CN"/>
        </w:rPr>
        <w:t>(二)</w:t>
      </w:r>
      <w:r>
        <w:rPr>
          <w:rFonts w:hint="eastAsia" w:ascii="仿宋" w:hAnsi="仿宋" w:eastAsia="仿宋"/>
          <w:sz w:val="30"/>
          <w:szCs w:val="30"/>
        </w:rPr>
        <w:t>项目管理制度不完善。项目单位虽制定了专项资金管理办法，但是对项目申报、资金拔付及使用、资金的监督检查等均没有详细规定。</w:t>
      </w:r>
    </w:p>
    <w:p>
      <w:pPr>
        <w:pStyle w:val="5"/>
        <w:ind w:firstLine="560" w:firstLineChars="200"/>
        <w:rPr>
          <w:rFonts w:hint="eastAsia" w:ascii="仿宋" w:hAnsi="仿宋" w:eastAsia="仿宋"/>
          <w:sz w:val="28"/>
          <w:szCs w:val="28"/>
          <w:lang w:eastAsia="zh-CN"/>
        </w:rPr>
      </w:pPr>
      <w:r>
        <w:rPr>
          <w:rFonts w:hint="eastAsia" w:ascii="仿宋" w:hAnsi="仿宋" w:eastAsia="仿宋"/>
          <w:sz w:val="28"/>
          <w:szCs w:val="28"/>
          <w:lang w:val="en-US" w:eastAsia="zh-CN"/>
        </w:rPr>
        <w:t>(</w:t>
      </w:r>
      <w:r>
        <w:rPr>
          <w:rFonts w:hint="eastAsia" w:ascii="仿宋" w:hAnsi="仿宋" w:eastAsia="仿宋"/>
          <w:sz w:val="28"/>
          <w:szCs w:val="28"/>
          <w:lang w:eastAsia="zh-CN"/>
        </w:rPr>
        <w:t>三</w:t>
      </w:r>
      <w:r>
        <w:rPr>
          <w:rFonts w:hint="eastAsia" w:ascii="仿宋" w:hAnsi="仿宋" w:eastAsia="仿宋"/>
          <w:sz w:val="28"/>
          <w:szCs w:val="28"/>
          <w:lang w:val="en-US" w:eastAsia="zh-CN"/>
        </w:rPr>
        <w:t>)</w:t>
      </w:r>
      <w:r>
        <w:rPr>
          <w:rFonts w:hint="eastAsia" w:ascii="仿宋" w:hAnsi="仿宋" w:eastAsia="仿宋"/>
          <w:sz w:val="28"/>
          <w:szCs w:val="28"/>
        </w:rPr>
        <w:t>会计核算工作欠规范。</w:t>
      </w:r>
      <w:r>
        <w:rPr>
          <w:rFonts w:hint="eastAsia" w:ascii="仿宋" w:hAnsi="仿宋" w:eastAsia="仿宋"/>
          <w:sz w:val="28"/>
          <w:szCs w:val="28"/>
          <w:lang w:eastAsia="zh-CN"/>
        </w:rPr>
        <w:t>该项目</w:t>
      </w:r>
      <w:r>
        <w:rPr>
          <w:rFonts w:hint="eastAsia" w:ascii="仿宋" w:hAnsi="仿宋" w:eastAsia="仿宋"/>
          <w:sz w:val="28"/>
          <w:szCs w:val="28"/>
          <w:lang w:val="en-US" w:eastAsia="zh-CN"/>
        </w:rPr>
        <w:t>2018年部门预算单位经费安排表中，明确该项目为“其他资本性支出”的经济类别，但该专用设备购置专项使用过程中，财政拔付的预算管理类型为“其他商品服务支出”及“工资福利支出”类别</w:t>
      </w:r>
      <w:r>
        <w:rPr>
          <w:rFonts w:hint="eastAsia" w:ascii="仿宋" w:hAnsi="仿宋" w:eastAsia="仿宋"/>
          <w:sz w:val="28"/>
          <w:szCs w:val="28"/>
        </w:rPr>
        <w:t>，</w:t>
      </w:r>
      <w:r>
        <w:rPr>
          <w:rFonts w:hint="eastAsia" w:ascii="仿宋" w:hAnsi="仿宋" w:eastAsia="仿宋"/>
          <w:sz w:val="28"/>
          <w:szCs w:val="28"/>
          <w:lang w:eastAsia="zh-CN"/>
        </w:rPr>
        <w:t>未按预算类型使用该专项资金；另外</w:t>
      </w:r>
      <w:r>
        <w:rPr>
          <w:rFonts w:hint="eastAsia" w:ascii="仿宋" w:hAnsi="仿宋" w:eastAsia="仿宋"/>
          <w:sz w:val="28"/>
          <w:szCs w:val="28"/>
          <w:lang w:val="en-US" w:eastAsia="zh-CN"/>
        </w:rPr>
        <w:t>对财政拨入的资金没有实施专户管理、单独入账，而是统收统入（拔入时亦未明确专项用途）</w:t>
      </w:r>
      <w:r>
        <w:rPr>
          <w:rFonts w:hint="eastAsia" w:ascii="仿宋" w:hAnsi="仿宋" w:eastAsia="仿宋"/>
          <w:sz w:val="28"/>
          <w:szCs w:val="28"/>
          <w:lang w:eastAsia="zh-CN"/>
        </w:rPr>
        <w:t>。</w:t>
      </w:r>
    </w:p>
    <w:p>
      <w:pPr>
        <w:pStyle w:val="5"/>
        <w:ind w:firstLine="560" w:firstLineChars="200"/>
        <w:jc w:val="left"/>
        <w:rPr>
          <w:rFonts w:hint="eastAsia" w:ascii="仿宋" w:hAnsi="仿宋" w:eastAsia="仿宋"/>
          <w:sz w:val="28"/>
          <w:szCs w:val="28"/>
          <w:lang w:val="en-US" w:eastAsia="zh-CN"/>
        </w:rPr>
      </w:pPr>
      <w:r>
        <w:rPr>
          <w:rFonts w:hint="eastAsia" w:ascii="仿宋" w:hAnsi="仿宋" w:eastAsia="仿宋"/>
          <w:sz w:val="28"/>
          <w:szCs w:val="28"/>
          <w:lang w:val="en-US" w:eastAsia="zh-CN"/>
        </w:rPr>
        <w:t>(四)预算编制准确度欠佳。专用设备购置专项预算为833,500.00元，实际使用708,410.00元，专用设备购置专项资金结余125,090.00元。</w:t>
      </w:r>
    </w:p>
    <w:p>
      <w:pPr>
        <w:pStyle w:val="5"/>
        <w:ind w:firstLine="560" w:firstLineChars="200"/>
        <w:jc w:val="left"/>
        <w:rPr>
          <w:rFonts w:hint="eastAsia" w:ascii="仿宋" w:hAnsi="仿宋" w:eastAsia="仿宋"/>
          <w:sz w:val="28"/>
          <w:szCs w:val="28"/>
          <w:lang w:val="en-US" w:eastAsia="zh-CN"/>
        </w:rPr>
      </w:pPr>
      <w:r>
        <w:rPr>
          <w:rFonts w:hint="eastAsia" w:ascii="仿宋" w:hAnsi="仿宋" w:eastAsia="仿宋"/>
          <w:sz w:val="28"/>
          <w:szCs w:val="28"/>
          <w:lang w:val="en-US" w:eastAsia="zh-CN"/>
        </w:rPr>
        <w:t>(五)监督检查工作未到位，有待加强。监督检查是保证预算执行的重要手段，通过实施内部监督检查，可以及时查找并督促整改财政管理中存在的问题，发挥监督预算、纠偏、评价及监管职能 ，推动财政管理更加规范、科学、合理、高效。本工作专项没有受到财政或主管部门的监督检查。</w:t>
      </w:r>
    </w:p>
    <w:p>
      <w:pPr>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(六)资料收集欠完备,</w:t>
      </w:r>
      <w:r>
        <w:rPr>
          <w:rFonts w:hint="eastAsia" w:ascii="仿宋" w:hAnsi="仿宋" w:eastAsia="仿宋"/>
          <w:sz w:val="28"/>
          <w:szCs w:val="28"/>
        </w:rPr>
        <w:t>绩效自评报告质量有待提高</w:t>
      </w:r>
      <w:r>
        <w:rPr>
          <w:rFonts w:hint="eastAsia" w:ascii="仿宋" w:hAnsi="仿宋" w:eastAsia="仿宋"/>
          <w:sz w:val="28"/>
          <w:szCs w:val="28"/>
          <w:lang w:eastAsia="zh-CN"/>
        </w:rPr>
        <w:t>。</w:t>
      </w:r>
      <w:r>
        <w:rPr>
          <w:rFonts w:hint="eastAsia" w:ascii="仿宋" w:hAnsi="仿宋" w:eastAsia="仿宋"/>
          <w:sz w:val="28"/>
          <w:szCs w:val="28"/>
        </w:rPr>
        <w:t>评价人员通过查阅相关项目资料和档案，认</w:t>
      </w:r>
      <w:r>
        <w:rPr>
          <w:rFonts w:hint="eastAsia" w:ascii="仿宋" w:hAnsi="仿宋" w:eastAsia="仿宋"/>
          <w:sz w:val="28"/>
          <w:szCs w:val="28"/>
          <w:lang w:eastAsia="zh-CN"/>
        </w:rPr>
        <w:t>为</w:t>
      </w:r>
      <w:r>
        <w:rPr>
          <w:rFonts w:hint="eastAsia" w:ascii="仿宋" w:hAnsi="仿宋" w:eastAsia="仿宋"/>
          <w:sz w:val="28"/>
          <w:szCs w:val="28"/>
        </w:rPr>
        <w:t>项目单位自评资料报送较为及时、数据基本准确，但提交的绩效</w:t>
      </w:r>
      <w:r>
        <w:rPr>
          <w:rFonts w:hint="eastAsia" w:ascii="仿宋" w:hAnsi="仿宋" w:eastAsia="仿宋"/>
          <w:sz w:val="28"/>
          <w:szCs w:val="28"/>
          <w:lang w:eastAsia="zh-CN"/>
        </w:rPr>
        <w:t>自评</w:t>
      </w:r>
      <w:r>
        <w:rPr>
          <w:rFonts w:hint="eastAsia" w:ascii="仿宋" w:hAnsi="仿宋" w:eastAsia="仿宋"/>
          <w:sz w:val="28"/>
          <w:szCs w:val="28"/>
        </w:rPr>
        <w:t>报告中，</w:t>
      </w:r>
      <w:r>
        <w:rPr>
          <w:rFonts w:hint="eastAsia" w:ascii="仿宋" w:hAnsi="仿宋" w:eastAsia="仿宋"/>
          <w:sz w:val="28"/>
          <w:szCs w:val="28"/>
          <w:lang w:eastAsia="zh-CN"/>
        </w:rPr>
        <w:t>对项目的立项依据（拔付依据）、项目管理制度的建立及执行情况以及存大的问题和相关建议等方面表述的不是很清楚</w:t>
      </w:r>
      <w:r>
        <w:rPr>
          <w:rFonts w:hint="eastAsia" w:ascii="仿宋" w:hAnsi="仿宋" w:eastAsia="仿宋"/>
          <w:sz w:val="28"/>
          <w:szCs w:val="28"/>
        </w:rPr>
        <w:t>，绩效自评工作不够全面，绩效自评报告质量有待提高。</w:t>
      </w:r>
    </w:p>
    <w:p>
      <w:pPr>
        <w:pStyle w:val="5"/>
        <w:ind w:firstLine="643" w:firstLineChars="200"/>
        <w:jc w:val="left"/>
      </w:pPr>
      <w:r>
        <w:rPr>
          <w:rFonts w:hint="eastAsia"/>
          <w:b/>
          <w:sz w:val="32"/>
          <w:szCs w:val="32"/>
        </w:rPr>
        <w:t>七、建议</w:t>
      </w:r>
    </w:p>
    <w:p>
      <w:pPr>
        <w:pStyle w:val="5"/>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w:t>
      </w:r>
      <w:r>
        <w:rPr>
          <w:rFonts w:hint="eastAsia" w:ascii="仿宋" w:hAnsi="仿宋" w:eastAsia="仿宋"/>
          <w:sz w:val="28"/>
          <w:szCs w:val="28"/>
        </w:rPr>
        <w:t>一</w:t>
      </w:r>
      <w:r>
        <w:rPr>
          <w:rFonts w:hint="eastAsia" w:ascii="仿宋" w:hAnsi="仿宋" w:eastAsia="仿宋"/>
          <w:sz w:val="28"/>
          <w:szCs w:val="28"/>
          <w:lang w:val="en-US" w:eastAsia="zh-CN"/>
        </w:rPr>
        <w:t>)加强绩效管理工作理论学习，提高绩效目标申报质量，做到绩效目标明确、各指标细化、量化准确。</w:t>
      </w:r>
    </w:p>
    <w:p>
      <w:pPr>
        <w:pStyle w:val="5"/>
        <w:ind w:firstLine="560" w:firstLineChars="200"/>
        <w:rPr>
          <w:rFonts w:hint="eastAsia" w:ascii="仿宋" w:hAnsi="仿宋" w:eastAsia="仿宋"/>
          <w:sz w:val="28"/>
          <w:szCs w:val="28"/>
        </w:rPr>
      </w:pPr>
      <w:r>
        <w:rPr>
          <w:rFonts w:hint="eastAsia" w:ascii="仿宋" w:hAnsi="仿宋" w:eastAsia="仿宋"/>
          <w:sz w:val="28"/>
          <w:szCs w:val="28"/>
          <w:lang w:val="en-US" w:eastAsia="zh-CN"/>
        </w:rPr>
        <w:t>(</w:t>
      </w:r>
      <w:r>
        <w:rPr>
          <w:rFonts w:hint="eastAsia" w:ascii="仿宋" w:hAnsi="仿宋" w:eastAsia="仿宋"/>
          <w:sz w:val="28"/>
          <w:szCs w:val="28"/>
          <w:lang w:eastAsia="zh-CN"/>
        </w:rPr>
        <w:t>二</w:t>
      </w:r>
      <w:r>
        <w:rPr>
          <w:rFonts w:hint="eastAsia" w:ascii="仿宋" w:hAnsi="仿宋" w:eastAsia="仿宋"/>
          <w:sz w:val="28"/>
          <w:szCs w:val="28"/>
          <w:lang w:val="en-US" w:eastAsia="zh-CN"/>
        </w:rPr>
        <w:t>)</w:t>
      </w:r>
      <w:r>
        <w:rPr>
          <w:rFonts w:hint="eastAsia" w:ascii="仿宋" w:hAnsi="仿宋" w:eastAsia="仿宋"/>
          <w:sz w:val="28"/>
          <w:szCs w:val="28"/>
        </w:rPr>
        <w:t>完善项目管理制度</w:t>
      </w:r>
      <w:r>
        <w:rPr>
          <w:rFonts w:hint="eastAsia" w:ascii="仿宋" w:hAnsi="仿宋" w:eastAsia="仿宋"/>
          <w:sz w:val="28"/>
          <w:szCs w:val="28"/>
          <w:lang w:eastAsia="zh-CN"/>
        </w:rPr>
        <w:t>和专项资金管理办法，使各</w:t>
      </w:r>
      <w:r>
        <w:rPr>
          <w:rFonts w:hint="eastAsia" w:ascii="仿宋" w:hAnsi="仿宋" w:eastAsia="仿宋"/>
          <w:sz w:val="28"/>
          <w:szCs w:val="28"/>
        </w:rPr>
        <w:t>项目</w:t>
      </w:r>
      <w:r>
        <w:rPr>
          <w:rFonts w:hint="eastAsia" w:ascii="仿宋" w:hAnsi="仿宋" w:eastAsia="仿宋"/>
          <w:sz w:val="28"/>
          <w:szCs w:val="28"/>
          <w:lang w:eastAsia="zh-CN"/>
        </w:rPr>
        <w:t>在立项、申报、批复及执行过程中均有据可查，有章有依；在专项资金使用上应对资金的申请、拔付，使用的范围、标准以及监督检查等有明确的规定，使制度和办法贯穿于整个项目的始终</w:t>
      </w:r>
      <w:r>
        <w:rPr>
          <w:rFonts w:hint="eastAsia" w:ascii="仿宋" w:hAnsi="仿宋" w:eastAsia="仿宋"/>
          <w:sz w:val="28"/>
          <w:szCs w:val="28"/>
        </w:rPr>
        <w:t>。</w:t>
      </w:r>
    </w:p>
    <w:p>
      <w:pPr>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w:t>
      </w:r>
      <w:r>
        <w:rPr>
          <w:rFonts w:hint="eastAsia" w:ascii="仿宋" w:hAnsi="仿宋" w:eastAsia="仿宋"/>
          <w:sz w:val="28"/>
          <w:szCs w:val="28"/>
          <w:lang w:eastAsia="zh-CN"/>
        </w:rPr>
        <w:t>三</w:t>
      </w:r>
      <w:r>
        <w:rPr>
          <w:rFonts w:hint="eastAsia" w:ascii="仿宋" w:hAnsi="仿宋" w:eastAsia="仿宋"/>
          <w:sz w:val="28"/>
          <w:szCs w:val="28"/>
          <w:lang w:val="en-US" w:eastAsia="zh-CN"/>
        </w:rPr>
        <w:t>)加强会计核算工作，严格按准则要求进行账务处理，</w:t>
      </w:r>
      <w:r>
        <w:rPr>
          <w:rFonts w:hint="eastAsia" w:ascii="仿宋" w:hAnsi="仿宋" w:eastAsia="仿宋"/>
          <w:sz w:val="28"/>
          <w:szCs w:val="28"/>
        </w:rPr>
        <w:t>专项资金</w:t>
      </w:r>
      <w:r>
        <w:rPr>
          <w:rFonts w:hint="eastAsia" w:ascii="仿宋" w:hAnsi="仿宋" w:eastAsia="仿宋"/>
          <w:sz w:val="28"/>
          <w:szCs w:val="28"/>
          <w:lang w:eastAsia="zh-CN"/>
        </w:rPr>
        <w:t>坚决实行“专人管理、专户储存、专账核算、专项使用”的原则</w:t>
      </w:r>
      <w:r>
        <w:rPr>
          <w:rFonts w:hint="eastAsia" w:ascii="仿宋" w:hAnsi="仿宋" w:eastAsia="仿宋"/>
          <w:sz w:val="28"/>
          <w:szCs w:val="28"/>
        </w:rPr>
        <w:t>，在</w:t>
      </w:r>
      <w:r>
        <w:rPr>
          <w:rFonts w:hint="eastAsia" w:ascii="仿宋" w:hAnsi="仿宋" w:eastAsia="仿宋"/>
          <w:sz w:val="28"/>
          <w:szCs w:val="28"/>
          <w:lang w:eastAsia="zh-CN"/>
        </w:rPr>
        <w:t>专项资金拨入时努力做到来源明确并单独核算，所有支出尽量纳入财政预算架构。</w:t>
      </w:r>
    </w:p>
    <w:p>
      <w:pPr>
        <w:pStyle w:val="5"/>
        <w:ind w:firstLine="560" w:firstLineChars="200"/>
        <w:rPr>
          <w:rFonts w:hint="eastAsia" w:ascii="仿宋" w:hAnsi="仿宋" w:eastAsia="仿宋" w:cs="仿宋"/>
          <w:sz w:val="30"/>
          <w:szCs w:val="30"/>
        </w:rPr>
      </w:pPr>
      <w:r>
        <w:rPr>
          <w:rFonts w:hint="eastAsia" w:ascii="仿宋" w:hAnsi="仿宋" w:eastAsia="仿宋"/>
          <w:sz w:val="28"/>
          <w:szCs w:val="28"/>
          <w:lang w:val="en-US" w:eastAsia="zh-CN"/>
        </w:rPr>
        <w:t>(四)</w:t>
      </w:r>
      <w:r>
        <w:rPr>
          <w:rFonts w:hint="eastAsia" w:ascii="仿宋" w:hAnsi="仿宋" w:eastAsia="仿宋" w:cs="仿宋"/>
          <w:sz w:val="30"/>
          <w:szCs w:val="30"/>
        </w:rPr>
        <w:t>努力提升预算的准确性和严肃性，</w:t>
      </w:r>
      <w:r>
        <w:rPr>
          <w:rFonts w:hint="eastAsia" w:ascii="仿宋" w:hAnsi="仿宋" w:eastAsia="仿宋" w:cs="仿宋"/>
          <w:sz w:val="30"/>
          <w:szCs w:val="30"/>
          <w:lang w:eastAsia="zh-CN"/>
        </w:rPr>
        <w:t>使有限的财政资金更好地发挥使用效率</w:t>
      </w:r>
      <w:r>
        <w:rPr>
          <w:rFonts w:hint="eastAsia" w:ascii="仿宋" w:hAnsi="仿宋" w:eastAsia="仿宋" w:cs="仿宋"/>
          <w:sz w:val="30"/>
          <w:szCs w:val="30"/>
        </w:rPr>
        <w:t>。</w:t>
      </w:r>
    </w:p>
    <w:p>
      <w:pPr>
        <w:ind w:firstLine="600" w:firstLineChars="200"/>
        <w:rPr>
          <w:rFonts w:hint="eastAsia" w:ascii="仿宋" w:hAnsi="仿宋" w:eastAsia="仿宋"/>
          <w:sz w:val="28"/>
          <w:szCs w:val="28"/>
          <w:lang w:eastAsia="zh-CN"/>
        </w:rPr>
      </w:pPr>
      <w:r>
        <w:rPr>
          <w:rFonts w:hint="eastAsia" w:ascii="仿宋" w:hAnsi="仿宋" w:eastAsia="仿宋" w:cs="仿宋"/>
          <w:sz w:val="30"/>
          <w:szCs w:val="30"/>
          <w:lang w:val="en-US" w:eastAsia="zh-CN"/>
        </w:rPr>
        <w:t>(</w:t>
      </w:r>
      <w:r>
        <w:rPr>
          <w:rFonts w:hint="eastAsia" w:ascii="仿宋" w:hAnsi="仿宋" w:eastAsia="仿宋" w:cs="仿宋"/>
          <w:sz w:val="30"/>
          <w:szCs w:val="30"/>
          <w:lang w:eastAsia="zh-CN"/>
        </w:rPr>
        <w:t>五</w:t>
      </w:r>
      <w:r>
        <w:rPr>
          <w:rFonts w:hint="eastAsia" w:ascii="仿宋" w:hAnsi="仿宋" w:eastAsia="仿宋" w:cs="仿宋"/>
          <w:sz w:val="30"/>
          <w:szCs w:val="30"/>
          <w:lang w:val="en-US" w:eastAsia="zh-CN"/>
        </w:rPr>
        <w:t>)</w:t>
      </w:r>
      <w:r>
        <w:rPr>
          <w:rFonts w:hint="eastAsia" w:ascii="仿宋" w:hAnsi="仿宋" w:eastAsia="仿宋"/>
          <w:sz w:val="28"/>
          <w:szCs w:val="28"/>
          <w:lang w:eastAsia="zh-CN"/>
        </w:rPr>
        <w:t>为了保证财政预算的执行质量，杜绝暗箱操作或腐败行为，保证财政预算的编制效果，因而必须要采取切实措施加强对预算执行情况的监督检查，以规范各有关预算执行部门的行为。</w:t>
      </w:r>
    </w:p>
    <w:p>
      <w:pPr>
        <w:pStyle w:val="5"/>
        <w:ind w:firstLine="560" w:firstLineChars="200"/>
        <w:rPr>
          <w:rFonts w:hint="eastAsia" w:ascii="仿宋" w:hAnsi="仿宋" w:eastAsia="仿宋"/>
          <w:sz w:val="28"/>
          <w:szCs w:val="28"/>
        </w:rPr>
      </w:pPr>
      <w:r>
        <w:rPr>
          <w:rFonts w:hint="eastAsia" w:ascii="仿宋" w:hAnsi="仿宋" w:eastAsia="仿宋"/>
          <w:sz w:val="28"/>
          <w:szCs w:val="28"/>
          <w:lang w:val="en-US" w:eastAsia="zh-CN"/>
        </w:rPr>
        <w:t>(六)提高认识，努力提高资料收集及项目绩效自评水平。全面绩效评价工作已经提升到了党的政策高度，因此绩效评价工作也是一个常态性的重要工作，资料收集完备以及项目自评报告的水平也直接反映了项目单位的重视程度及专项工作做得好坏的重要参考</w:t>
      </w:r>
      <w:r>
        <w:rPr>
          <w:rFonts w:hint="eastAsia" w:ascii="仿宋" w:hAnsi="仿宋" w:eastAsia="仿宋"/>
          <w:sz w:val="28"/>
          <w:szCs w:val="28"/>
          <w:lang w:eastAsia="zh-CN"/>
        </w:rPr>
        <w:t>。</w:t>
      </w:r>
    </w:p>
    <w:p>
      <w:pPr>
        <w:pStyle w:val="5"/>
        <w:ind w:firstLine="560" w:firstLineChars="200"/>
        <w:rPr>
          <w:rFonts w:hint="default" w:ascii="仿宋" w:hAnsi="仿宋" w:eastAsia="仿宋"/>
          <w:sz w:val="28"/>
          <w:szCs w:val="28"/>
          <w:lang w:val="en-US" w:eastAsia="zh-CN"/>
        </w:rPr>
      </w:pPr>
      <w:r>
        <w:rPr>
          <w:rFonts w:hint="eastAsia" w:ascii="仿宋" w:hAnsi="仿宋" w:eastAsia="仿宋"/>
          <w:sz w:val="28"/>
          <w:szCs w:val="28"/>
          <w:lang w:val="en-US" w:eastAsia="zh-CN"/>
        </w:rPr>
        <w:t xml:space="preserve">  </w:t>
      </w:r>
    </w:p>
    <w:p>
      <w:pPr>
        <w:pStyle w:val="5"/>
        <w:rPr>
          <w:rFonts w:ascii="仿宋" w:hAnsi="仿宋" w:eastAsia="仿宋"/>
          <w:sz w:val="28"/>
          <w:szCs w:val="28"/>
        </w:rPr>
      </w:pPr>
    </w:p>
    <w:p>
      <w:pPr>
        <w:pStyle w:val="5"/>
        <w:ind w:firstLine="6160" w:firstLineChars="2200"/>
        <w:rPr>
          <w:rFonts w:ascii="仿宋" w:hAnsi="仿宋" w:eastAsia="仿宋"/>
          <w:sz w:val="28"/>
          <w:szCs w:val="28"/>
        </w:rPr>
      </w:pPr>
      <w:r>
        <w:rPr>
          <w:rFonts w:hint="eastAsia" w:ascii="仿宋" w:hAnsi="仿宋" w:eastAsia="仿宋"/>
          <w:sz w:val="28"/>
          <w:szCs w:val="28"/>
        </w:rPr>
        <w:t>2019年</w:t>
      </w:r>
      <w:r>
        <w:rPr>
          <w:rFonts w:hint="eastAsia" w:ascii="仿宋" w:hAnsi="仿宋" w:eastAsia="仿宋"/>
          <w:sz w:val="28"/>
          <w:szCs w:val="28"/>
          <w:lang w:val="en-US" w:eastAsia="zh-CN"/>
        </w:rPr>
        <w:t>6</w:t>
      </w:r>
      <w:r>
        <w:rPr>
          <w:rFonts w:hint="eastAsia" w:ascii="仿宋" w:hAnsi="仿宋" w:eastAsia="仿宋"/>
          <w:sz w:val="28"/>
          <w:szCs w:val="28"/>
        </w:rPr>
        <w:t>月</w:t>
      </w:r>
      <w:r>
        <w:rPr>
          <w:rFonts w:hint="eastAsia" w:ascii="仿宋" w:hAnsi="仿宋" w:eastAsia="仿宋"/>
          <w:sz w:val="28"/>
          <w:szCs w:val="28"/>
          <w:lang w:val="en-US" w:eastAsia="zh-CN"/>
        </w:rPr>
        <w:t>13</w:t>
      </w:r>
      <w:r>
        <w:rPr>
          <w:rFonts w:hint="eastAsia" w:ascii="仿宋" w:hAnsi="仿宋" w:eastAsia="仿宋"/>
          <w:sz w:val="28"/>
          <w:szCs w:val="28"/>
        </w:rPr>
        <w:t>日</w:t>
      </w:r>
    </w:p>
    <w:p>
      <w:pPr>
        <w:pStyle w:val="5"/>
        <w:ind w:firstLine="480"/>
        <w:rPr>
          <w:rFonts w:ascii="仿宋" w:hAnsi="仿宋" w:eastAsia="仿宋"/>
          <w:sz w:val="24"/>
          <w:szCs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2C7E27"/>
    <w:multiLevelType w:val="singleLevel"/>
    <w:tmpl w:val="572C7E27"/>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5AB"/>
    <w:rsid w:val="0001335A"/>
    <w:rsid w:val="00065665"/>
    <w:rsid w:val="000A0340"/>
    <w:rsid w:val="000B3D15"/>
    <w:rsid w:val="000C0FE2"/>
    <w:rsid w:val="000F1315"/>
    <w:rsid w:val="000F2ACA"/>
    <w:rsid w:val="000F50E8"/>
    <w:rsid w:val="00147956"/>
    <w:rsid w:val="00167E80"/>
    <w:rsid w:val="0018199C"/>
    <w:rsid w:val="00187EEE"/>
    <w:rsid w:val="001A3AFC"/>
    <w:rsid w:val="001B2AEC"/>
    <w:rsid w:val="001B3D22"/>
    <w:rsid w:val="001B573D"/>
    <w:rsid w:val="001C1213"/>
    <w:rsid w:val="001E2F50"/>
    <w:rsid w:val="00200E4D"/>
    <w:rsid w:val="00221162"/>
    <w:rsid w:val="0022517E"/>
    <w:rsid w:val="00232700"/>
    <w:rsid w:val="0026248C"/>
    <w:rsid w:val="002F3B60"/>
    <w:rsid w:val="00305F6D"/>
    <w:rsid w:val="00317B4C"/>
    <w:rsid w:val="00324225"/>
    <w:rsid w:val="003666A4"/>
    <w:rsid w:val="00384A4C"/>
    <w:rsid w:val="00386BB0"/>
    <w:rsid w:val="003A0875"/>
    <w:rsid w:val="003D23A4"/>
    <w:rsid w:val="003E28D3"/>
    <w:rsid w:val="003E4D95"/>
    <w:rsid w:val="003E6D8E"/>
    <w:rsid w:val="004001CD"/>
    <w:rsid w:val="00425808"/>
    <w:rsid w:val="00431DFC"/>
    <w:rsid w:val="00447BC7"/>
    <w:rsid w:val="00460FD9"/>
    <w:rsid w:val="00482313"/>
    <w:rsid w:val="004829B8"/>
    <w:rsid w:val="004E182A"/>
    <w:rsid w:val="00501BC1"/>
    <w:rsid w:val="00503A12"/>
    <w:rsid w:val="005748D1"/>
    <w:rsid w:val="005A0607"/>
    <w:rsid w:val="005A132A"/>
    <w:rsid w:val="005A6674"/>
    <w:rsid w:val="005A679E"/>
    <w:rsid w:val="005A69B3"/>
    <w:rsid w:val="005D30FF"/>
    <w:rsid w:val="005E6E1F"/>
    <w:rsid w:val="0062702A"/>
    <w:rsid w:val="00637EF4"/>
    <w:rsid w:val="0065649E"/>
    <w:rsid w:val="00672842"/>
    <w:rsid w:val="00686D23"/>
    <w:rsid w:val="006903F8"/>
    <w:rsid w:val="006A4AF2"/>
    <w:rsid w:val="006D2288"/>
    <w:rsid w:val="006E0495"/>
    <w:rsid w:val="006F43C9"/>
    <w:rsid w:val="00700E79"/>
    <w:rsid w:val="00703CFF"/>
    <w:rsid w:val="00707806"/>
    <w:rsid w:val="0074162A"/>
    <w:rsid w:val="00757391"/>
    <w:rsid w:val="007A0246"/>
    <w:rsid w:val="007A3DB3"/>
    <w:rsid w:val="007C5A49"/>
    <w:rsid w:val="007C65AB"/>
    <w:rsid w:val="007E3002"/>
    <w:rsid w:val="00803268"/>
    <w:rsid w:val="0088278C"/>
    <w:rsid w:val="008E521C"/>
    <w:rsid w:val="00923836"/>
    <w:rsid w:val="009A3E27"/>
    <w:rsid w:val="009C558A"/>
    <w:rsid w:val="009E7AB8"/>
    <w:rsid w:val="00A26203"/>
    <w:rsid w:val="00A327DE"/>
    <w:rsid w:val="00A536B1"/>
    <w:rsid w:val="00A53FDF"/>
    <w:rsid w:val="00A77DB5"/>
    <w:rsid w:val="00A8645C"/>
    <w:rsid w:val="00AC19B2"/>
    <w:rsid w:val="00AD487F"/>
    <w:rsid w:val="00AF32A8"/>
    <w:rsid w:val="00B4209D"/>
    <w:rsid w:val="00B426FD"/>
    <w:rsid w:val="00B90688"/>
    <w:rsid w:val="00B9259F"/>
    <w:rsid w:val="00C01044"/>
    <w:rsid w:val="00C3689C"/>
    <w:rsid w:val="00C45C70"/>
    <w:rsid w:val="00C539D8"/>
    <w:rsid w:val="00C66843"/>
    <w:rsid w:val="00C72A00"/>
    <w:rsid w:val="00C732D2"/>
    <w:rsid w:val="00C95E27"/>
    <w:rsid w:val="00CD1927"/>
    <w:rsid w:val="00D04D00"/>
    <w:rsid w:val="00D071FF"/>
    <w:rsid w:val="00D55BB2"/>
    <w:rsid w:val="00E659BB"/>
    <w:rsid w:val="00E75B44"/>
    <w:rsid w:val="00E87C36"/>
    <w:rsid w:val="00ED34A2"/>
    <w:rsid w:val="00F03227"/>
    <w:rsid w:val="00F52092"/>
    <w:rsid w:val="00F65304"/>
    <w:rsid w:val="01CE2E83"/>
    <w:rsid w:val="024E2459"/>
    <w:rsid w:val="03952391"/>
    <w:rsid w:val="04874319"/>
    <w:rsid w:val="0894020B"/>
    <w:rsid w:val="0FF0329D"/>
    <w:rsid w:val="1798168E"/>
    <w:rsid w:val="1DFD7434"/>
    <w:rsid w:val="20D922F8"/>
    <w:rsid w:val="24910D80"/>
    <w:rsid w:val="24D66052"/>
    <w:rsid w:val="250D020A"/>
    <w:rsid w:val="2A39331E"/>
    <w:rsid w:val="2B3D4D6A"/>
    <w:rsid w:val="2B4228B0"/>
    <w:rsid w:val="2DBF74D3"/>
    <w:rsid w:val="3472030D"/>
    <w:rsid w:val="36493F11"/>
    <w:rsid w:val="36B85EC6"/>
    <w:rsid w:val="36C72F7A"/>
    <w:rsid w:val="38F77C17"/>
    <w:rsid w:val="3DF75091"/>
    <w:rsid w:val="3E781D8B"/>
    <w:rsid w:val="457E15E9"/>
    <w:rsid w:val="46353B50"/>
    <w:rsid w:val="486B1F85"/>
    <w:rsid w:val="4B8506BA"/>
    <w:rsid w:val="4F3953FF"/>
    <w:rsid w:val="52551102"/>
    <w:rsid w:val="56805B0E"/>
    <w:rsid w:val="57FC1FD2"/>
    <w:rsid w:val="5A8869A2"/>
    <w:rsid w:val="5B0E5646"/>
    <w:rsid w:val="5CCA579E"/>
    <w:rsid w:val="617D7400"/>
    <w:rsid w:val="656C0F29"/>
    <w:rsid w:val="6942471B"/>
    <w:rsid w:val="69F71D35"/>
    <w:rsid w:val="6C0D49AD"/>
    <w:rsid w:val="6E8A3123"/>
    <w:rsid w:val="76C121DC"/>
    <w:rsid w:val="7CD605E6"/>
    <w:rsid w:val="7DED3F68"/>
    <w:rsid w:val="7E810F23"/>
    <w:rsid w:val="7EB3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540" w:lineRule="exact"/>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paragraph" w:styleId="2">
    <w:name w:val="Normal (Web)"/>
    <w:basedOn w:val="1"/>
    <w:unhideWhenUsed/>
    <w:qFormat/>
    <w:uiPriority w:val="99"/>
    <w:pPr>
      <w:spacing w:before="100" w:beforeAutospacing="1" w:after="100" w:afterAutospacing="1"/>
    </w:pPr>
    <w:rPr>
      <w:rFonts w:ascii="宋体" w:hAnsi="宋体" w:eastAsia="宋体" w:cs="宋体"/>
      <w:kern w:val="0"/>
      <w:sz w:val="24"/>
      <w:szCs w:val="24"/>
    </w:rPr>
  </w:style>
  <w:style w:type="paragraph" w:styleId="5">
    <w:name w:val="No Spacing"/>
    <w:qFormat/>
    <w:uiPriority w:val="1"/>
    <w:pPr>
      <w:widowControl w:val="0"/>
      <w:spacing w:line="540" w:lineRule="exact"/>
      <w:jc w:val="both"/>
    </w:pPr>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491</Words>
  <Characters>2803</Characters>
  <Lines>23</Lines>
  <Paragraphs>6</Paragraphs>
  <TotalTime>1</TotalTime>
  <ScaleCrop>false</ScaleCrop>
  <LinksUpToDate>false</LinksUpToDate>
  <CharactersWithSpaces>3288</CharactersWithSpaces>
  <Application>WPS Office_11.1.0.8808_F1E327BC-269C-435d-A152-05C5408002CA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2019-06-10T00:21:00Z</dcterms:created>
  <dc:creator>xb21cn</dc:creator>
  <cp:lastModifiedBy>Administrator</cp:lastModifiedBy>
  <dcterms:modified xsi:type="dcterms:W3CDTF">2019-07-05T08:19:43Z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