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段德昌生平业绩陈列馆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南县</w:t>
      </w:r>
      <w:r>
        <w:rPr>
          <w:rFonts w:hint="eastAsia" w:ascii="仿宋" w:hAnsi="仿宋" w:eastAsia="仿宋"/>
          <w:sz w:val="32"/>
          <w:szCs w:val="32"/>
          <w:lang w:eastAsia="zh-CN"/>
        </w:rPr>
        <w:t>段德昌生平业绩陈列馆位于国家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3A级旅游景区</w:t>
      </w:r>
      <w:r>
        <w:rPr>
          <w:rFonts w:hint="eastAsia" w:ascii="仿宋" w:hAnsi="仿宋" w:eastAsia="仿宋"/>
          <w:sz w:val="32"/>
          <w:szCs w:val="32"/>
          <w:lang w:eastAsia="zh-CN"/>
        </w:rPr>
        <w:t>德昌公园内，是湖南省爱国主义教育示范基地</w:t>
      </w:r>
      <w:r>
        <w:rPr>
          <w:rFonts w:hint="eastAsia" w:ascii="仿宋" w:hAnsi="仿宋" w:eastAsia="仿宋"/>
          <w:sz w:val="32"/>
          <w:szCs w:val="32"/>
        </w:rPr>
        <w:t>。整个</w:t>
      </w:r>
      <w:r>
        <w:rPr>
          <w:rFonts w:hint="eastAsia" w:ascii="仿宋" w:hAnsi="仿宋" w:eastAsia="仿宋"/>
          <w:sz w:val="32"/>
          <w:szCs w:val="32"/>
          <w:lang w:eastAsia="zh-CN"/>
        </w:rPr>
        <w:t>陈列馆</w:t>
      </w:r>
      <w:r>
        <w:rPr>
          <w:rFonts w:hint="eastAsia" w:ascii="仿宋" w:hAnsi="仿宋" w:eastAsia="仿宋"/>
          <w:sz w:val="32"/>
          <w:szCs w:val="32"/>
        </w:rPr>
        <w:t>布展采用声、光、电等现代科技手段，采用图文说明、实物陈列、影视播放、雕塑场景展示等表现形式，集中展示了段德昌将军光辉而伟大的一生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165100</wp:posOffset>
            </wp:positionV>
            <wp:extent cx="5262245" cy="3380105"/>
            <wp:effectExtent l="0" t="0" r="14605" b="10795"/>
            <wp:wrapNone/>
            <wp:docPr id="1" name="图片 2" descr="PANO0001-P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PANO0001-Pan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38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2021-04-06T09:00:25Z</dcterms:created>
  <dc:creator>Administrator</dc:creator>
  <cp:lastModifiedBy>Administrator</cp:lastModifiedBy>
  <dcterms:modified xsi:type="dcterms:W3CDTF">2021-04-06T09:00:39Z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