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0A" w:rsidRDefault="009A53DD">
      <w:pPr>
        <w:spacing w:line="560" w:lineRule="exact"/>
        <w:ind w:firstLine="560"/>
        <w:rPr>
          <w:rFonts w:ascii="黑体" w:eastAsia="黑体" w:hAnsi="黑体"/>
          <w:color w:val="000000"/>
          <w:sz w:val="28"/>
          <w:szCs w:val="28"/>
        </w:rPr>
      </w:pPr>
      <w:bookmarkStart w:id="0" w:name="_GoBack"/>
      <w:bookmarkEnd w:id="0"/>
      <w:r>
        <w:rPr>
          <w:rFonts w:ascii="黑体" w:eastAsia="黑体" w:hAnsi="黑体" w:hint="eastAsia"/>
          <w:color w:val="000000"/>
          <w:sz w:val="28"/>
          <w:szCs w:val="28"/>
        </w:rPr>
        <w:t>附件1</w:t>
      </w:r>
    </w:p>
    <w:p w:rsidR="00B76A0A" w:rsidRDefault="009A53DD">
      <w:pPr>
        <w:ind w:firstLine="720"/>
        <w:jc w:val="center"/>
        <w:rPr>
          <w:rFonts w:ascii="黑体" w:eastAsia="黑体" w:hAnsi="黑体"/>
          <w:color w:val="000000"/>
          <w:sz w:val="36"/>
          <w:szCs w:val="36"/>
        </w:rPr>
      </w:pPr>
      <w:r>
        <w:rPr>
          <w:rFonts w:ascii="黑体" w:eastAsia="黑体" w:hAnsi="黑体" w:hint="eastAsia"/>
          <w:color w:val="000000"/>
          <w:sz w:val="36"/>
          <w:szCs w:val="36"/>
        </w:rPr>
        <w:t>2020年部门整体支出绩效自评指标计分表</w:t>
      </w:r>
    </w:p>
    <w:p w:rsidR="00B76A0A" w:rsidRDefault="00B76A0A">
      <w:pPr>
        <w:spacing w:line="300" w:lineRule="exact"/>
        <w:ind w:firstLine="640"/>
        <w:rPr>
          <w:rFonts w:ascii="黑体" w:eastAsia="黑体" w:hAnsi="黑体"/>
          <w:color w:val="000000"/>
        </w:rPr>
      </w:pPr>
    </w:p>
    <w:tbl>
      <w:tblPr>
        <w:tblW w:w="9992" w:type="dxa"/>
        <w:jc w:val="center"/>
        <w:tblLayout w:type="fixed"/>
        <w:tblCellMar>
          <w:left w:w="0" w:type="dxa"/>
          <w:right w:w="0" w:type="dxa"/>
        </w:tblCellMar>
        <w:tblLook w:val="04A0" w:firstRow="1" w:lastRow="0" w:firstColumn="1" w:lastColumn="0" w:noHBand="0" w:noVBand="1"/>
      </w:tblPr>
      <w:tblGrid>
        <w:gridCol w:w="828"/>
        <w:gridCol w:w="784"/>
        <w:gridCol w:w="848"/>
        <w:gridCol w:w="684"/>
        <w:gridCol w:w="2476"/>
        <w:gridCol w:w="4372"/>
      </w:tblGrid>
      <w:tr w:rsidR="00B76A0A">
        <w:trPr>
          <w:trHeight w:val="853"/>
          <w:jc w:val="center"/>
        </w:trPr>
        <w:tc>
          <w:tcPr>
            <w:tcW w:w="8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一级</w:t>
            </w:r>
            <w:r>
              <w:rPr>
                <w:rFonts w:ascii="黑体" w:eastAsia="黑体" w:hAnsi="黑体" w:hint="eastAsia"/>
                <w:color w:val="000000"/>
              </w:rPr>
              <w:br/>
              <w:t>指标</w:t>
            </w:r>
          </w:p>
        </w:tc>
        <w:tc>
          <w:tcPr>
            <w:tcW w:w="7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二级</w:t>
            </w:r>
          </w:p>
          <w:p w:rsidR="00B76A0A" w:rsidRDefault="009A53DD">
            <w:pPr>
              <w:spacing w:line="240" w:lineRule="exact"/>
              <w:jc w:val="center"/>
              <w:rPr>
                <w:rFonts w:ascii="黑体" w:eastAsia="黑体" w:hAnsi="黑体"/>
                <w:color w:val="000000"/>
              </w:rPr>
            </w:pPr>
            <w:r>
              <w:rPr>
                <w:rFonts w:ascii="黑体" w:eastAsia="黑体" w:hAnsi="黑体" w:hint="eastAsia"/>
                <w:color w:val="000000"/>
              </w:rPr>
              <w:t>指标</w:t>
            </w: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三级  指标</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自评分</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黑体" w:eastAsia="黑体" w:hAnsi="黑体"/>
                <w:color w:val="000000"/>
              </w:rPr>
            </w:pPr>
            <w:r>
              <w:rPr>
                <w:rFonts w:ascii="黑体" w:eastAsia="黑体" w:hAnsi="黑体" w:hint="eastAsia"/>
                <w:color w:val="000000"/>
              </w:rPr>
              <w:t>指标说明</w:t>
            </w:r>
          </w:p>
        </w:tc>
      </w:tr>
      <w:tr w:rsidR="00B76A0A">
        <w:trPr>
          <w:trHeight w:val="1327"/>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r>
              <w:rPr>
                <w:rFonts w:ascii="仿宋_GB2312" w:hAnsi="宋体" w:hint="eastAsia"/>
                <w:color w:val="000000"/>
              </w:rPr>
              <w:t>投 入</w:t>
            </w:r>
          </w:p>
          <w:p w:rsidR="00B76A0A" w:rsidRDefault="009A53DD">
            <w:pPr>
              <w:spacing w:line="240" w:lineRule="exact"/>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目标</w:t>
            </w:r>
            <w:r>
              <w:rPr>
                <w:rFonts w:ascii="宋体" w:hAnsi="宋体" w:hint="eastAsia"/>
                <w:color w:val="000000"/>
                <w:sz w:val="18"/>
                <w:szCs w:val="18"/>
              </w:rPr>
              <w:br/>
              <w:t>设定</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rPr>
                <w:rFonts w:ascii="宋体" w:hAnsi="宋体"/>
                <w:color w:val="000000"/>
                <w:sz w:val="18"/>
                <w:szCs w:val="18"/>
              </w:rPr>
            </w:pPr>
            <w:r>
              <w:rPr>
                <w:rFonts w:ascii="宋体" w:hAnsi="宋体" w:hint="eastAsia"/>
                <w:color w:val="000000"/>
                <w:sz w:val="18"/>
                <w:szCs w:val="18"/>
              </w:rPr>
              <w:t>绩效目标合理性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①符合国家法律法规、国民经济和社会发展总体规划计1分；②符合部门“三定”方案确定的职责计0.5分；③是否符合部门制定的中长期实施规划计0.5分。</w:t>
            </w:r>
          </w:p>
        </w:tc>
      </w:tr>
      <w:tr w:rsidR="00B76A0A">
        <w:trPr>
          <w:trHeight w:val="1169"/>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rPr>
                <w:rFonts w:ascii="宋体" w:hAnsi="宋体"/>
                <w:color w:val="000000"/>
                <w:sz w:val="18"/>
                <w:szCs w:val="18"/>
              </w:rPr>
            </w:pPr>
            <w:r>
              <w:rPr>
                <w:rFonts w:ascii="宋体" w:hAnsi="宋体" w:hint="eastAsia"/>
                <w:color w:val="000000"/>
                <w:sz w:val="18"/>
                <w:szCs w:val="18"/>
              </w:rPr>
              <w:t>绩效指标明确性</w:t>
            </w:r>
          </w:p>
          <w:p w:rsidR="00B76A0A" w:rsidRDefault="009A53DD">
            <w:pPr>
              <w:spacing w:line="240" w:lineRule="exact"/>
              <w:rPr>
                <w:rFonts w:ascii="宋体" w:hAnsi="宋体"/>
                <w:color w:val="000000"/>
                <w:sz w:val="18"/>
                <w:szCs w:val="18"/>
              </w:rPr>
            </w:pPr>
            <w:r>
              <w:rPr>
                <w:rFonts w:ascii="宋体" w:hAnsi="宋体" w:hint="eastAsia"/>
                <w:color w:val="000000"/>
                <w:sz w:val="18"/>
                <w:szCs w:val="18"/>
              </w:rPr>
              <w:t>（3分）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部门依据整体绩效目标所设定的绩效指标是否清晰、细化、可衡量，用以反映和考核部门整体绩效目标的</w:t>
            </w:r>
            <w:proofErr w:type="gramStart"/>
            <w:r>
              <w:rPr>
                <w:rFonts w:ascii="宋体" w:hAnsi="宋体" w:hint="eastAsia"/>
                <w:color w:val="000000"/>
                <w:sz w:val="18"/>
                <w:szCs w:val="18"/>
              </w:rPr>
              <w:t>明细化</w:t>
            </w:r>
            <w:proofErr w:type="gramEnd"/>
            <w:r>
              <w:rPr>
                <w:rFonts w:ascii="宋体" w:hAnsi="宋体" w:hint="eastAsia"/>
                <w:color w:val="000000"/>
                <w:sz w:val="18"/>
                <w:szCs w:val="18"/>
              </w:rPr>
              <w:t>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①将部门整体的绩效目标细化分解为具体的工作任务计1分；②通过清晰、可衡量的指标</w:t>
            </w:r>
            <w:proofErr w:type="gramStart"/>
            <w:r>
              <w:rPr>
                <w:rFonts w:ascii="宋体" w:hAnsi="宋体" w:hint="eastAsia"/>
                <w:color w:val="000000"/>
                <w:sz w:val="18"/>
                <w:szCs w:val="18"/>
              </w:rPr>
              <w:t>值予以</w:t>
            </w:r>
            <w:proofErr w:type="gramEnd"/>
            <w:r>
              <w:rPr>
                <w:rFonts w:ascii="宋体" w:hAnsi="宋体" w:hint="eastAsia"/>
                <w:color w:val="000000"/>
                <w:sz w:val="18"/>
                <w:szCs w:val="18"/>
              </w:rPr>
              <w:t>体现计0.5分。③与部门年度的任务数或计划数相对应计0.5分；④与本年度部门预算资金相匹配计1分。</w:t>
            </w:r>
          </w:p>
        </w:tc>
      </w:tr>
      <w:tr w:rsidR="00B76A0A">
        <w:trPr>
          <w:trHeight w:val="1221"/>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配置</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rPr>
                <w:rFonts w:ascii="宋体" w:hAnsi="宋体"/>
                <w:color w:val="000000"/>
                <w:sz w:val="18"/>
                <w:szCs w:val="18"/>
              </w:rPr>
            </w:pPr>
            <w:r>
              <w:rPr>
                <w:rFonts w:ascii="宋体" w:hAnsi="宋体" w:hint="eastAsia"/>
                <w:color w:val="000000"/>
                <w:sz w:val="18"/>
                <w:szCs w:val="18"/>
              </w:rPr>
              <w:t>在职人员控制率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B76A0A">
        <w:trPr>
          <w:trHeight w:val="1357"/>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“三公</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经费”</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变动率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6F6071">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B76A0A">
        <w:trPr>
          <w:trHeight w:val="1524"/>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重点支出安排率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6F6071">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B76A0A">
        <w:trPr>
          <w:trHeight w:val="1179"/>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r>
              <w:rPr>
                <w:rFonts w:ascii="仿宋_GB2312" w:hAnsi="宋体" w:hint="eastAsia"/>
                <w:color w:val="000000"/>
              </w:rPr>
              <w:t>过</w:t>
            </w:r>
            <w:r>
              <w:rPr>
                <w:rFonts w:ascii="仿宋_GB2312" w:hAnsi="宋体" w:hint="eastAsia"/>
                <w:color w:val="000000"/>
              </w:rPr>
              <w:t xml:space="preserve">  </w:t>
            </w:r>
            <w:r>
              <w:rPr>
                <w:rFonts w:ascii="仿宋_GB2312" w:hAnsi="宋体" w:hint="eastAsia"/>
                <w:color w:val="000000"/>
              </w:rPr>
              <w:t>程（</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执行</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（20分）</w:t>
            </w: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预算</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完成率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（4分）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rsidR="00B76A0A">
        <w:trPr>
          <w:trHeight w:val="1457"/>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预算</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调整率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B76A0A">
        <w:trPr>
          <w:trHeight w:val="1918"/>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支付</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进度率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B76A0A">
        <w:trPr>
          <w:trHeight w:val="1142"/>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结转结余控制率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（4分）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3</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B76A0A">
        <w:trPr>
          <w:trHeight w:val="1151"/>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公用经费控制率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公用经费控制率=（实际支出公用经费总额/预算安排公用经费总额）×100%。为100%的计2分，每超过1个百分点扣0.1分，扣完为止。</w:t>
            </w:r>
          </w:p>
        </w:tc>
      </w:tr>
      <w:tr w:rsidR="00B76A0A">
        <w:trPr>
          <w:trHeight w:val="1064"/>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“三公经费”控制率（2分）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“三公经费”控制率=（“三公经费”实际支出数/“三公经费”预算安排数）×100%。为100%的计2分，每超过1个百分点扣0.5分，扣完为止。</w:t>
            </w:r>
          </w:p>
        </w:tc>
      </w:tr>
      <w:tr w:rsidR="00B76A0A">
        <w:trPr>
          <w:trHeight w:val="1373"/>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政府采购执行率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（4分）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B76A0A">
        <w:trPr>
          <w:trHeight w:val="1342"/>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r>
              <w:rPr>
                <w:rFonts w:ascii="仿宋_GB2312" w:hAnsi="宋体" w:hint="eastAsia"/>
                <w:color w:val="000000"/>
              </w:rPr>
              <w:t>预算</w:t>
            </w:r>
          </w:p>
          <w:p w:rsidR="00B76A0A" w:rsidRDefault="009A53DD">
            <w:pPr>
              <w:spacing w:line="240" w:lineRule="exact"/>
              <w:jc w:val="center"/>
              <w:rPr>
                <w:rFonts w:ascii="仿宋_GB2312" w:hAnsi="宋体"/>
                <w:color w:val="000000"/>
              </w:rPr>
            </w:pPr>
            <w:r>
              <w:rPr>
                <w:rFonts w:ascii="仿宋_GB2312" w:hAnsi="宋体" w:hint="eastAsia"/>
                <w:color w:val="000000"/>
              </w:rPr>
              <w:t>管理</w:t>
            </w:r>
          </w:p>
          <w:p w:rsidR="00B76A0A" w:rsidRDefault="009A53DD">
            <w:pPr>
              <w:spacing w:line="240" w:lineRule="exact"/>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管理制度健全性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已制定或具有预算资金管理办法、内部财务管理制度、会计核算制度等管理制度计1分；相关管理制度合法、合</w:t>
            </w:r>
            <w:proofErr w:type="gramStart"/>
            <w:r>
              <w:rPr>
                <w:rFonts w:ascii="宋体" w:hAnsi="宋体" w:hint="eastAsia"/>
                <w:color w:val="000000"/>
                <w:sz w:val="18"/>
                <w:szCs w:val="18"/>
              </w:rPr>
              <w:t>规</w:t>
            </w:r>
            <w:proofErr w:type="gramEnd"/>
            <w:r>
              <w:rPr>
                <w:rFonts w:ascii="宋体" w:hAnsi="宋体" w:hint="eastAsia"/>
                <w:color w:val="000000"/>
                <w:sz w:val="18"/>
                <w:szCs w:val="18"/>
              </w:rPr>
              <w:t>、完整计0.5分；相关管理制度得到有效执行计0.5分。</w:t>
            </w:r>
          </w:p>
        </w:tc>
      </w:tr>
      <w:tr w:rsidR="00B76A0A">
        <w:trPr>
          <w:trHeight w:val="1324"/>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资金使用合</w:t>
            </w:r>
            <w:proofErr w:type="gramStart"/>
            <w:r>
              <w:rPr>
                <w:rFonts w:ascii="宋体" w:hAnsi="宋体" w:hint="eastAsia"/>
                <w:color w:val="000000"/>
                <w:sz w:val="18"/>
                <w:szCs w:val="18"/>
              </w:rPr>
              <w:t>规</w:t>
            </w:r>
            <w:proofErr w:type="gramEnd"/>
            <w:r>
              <w:rPr>
                <w:rFonts w:ascii="宋体" w:hAnsi="宋体" w:hint="eastAsia"/>
                <w:color w:val="000000"/>
                <w:sz w:val="18"/>
                <w:szCs w:val="18"/>
              </w:rPr>
              <w:t>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B76A0A">
        <w:trPr>
          <w:trHeight w:val="567"/>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预决算信息公开性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①按规定内容公开预决算信息计0.5分；②按规定时限公开预决算信息计0.5分。预决算信息是指与部门预算、执行、决算、监督、绩效等管理相关的信息。</w:t>
            </w:r>
          </w:p>
        </w:tc>
      </w:tr>
      <w:tr w:rsidR="00B76A0A">
        <w:trPr>
          <w:trHeight w:val="940"/>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基础信息完善性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①基础数据信息和会计信息资料真实计0.4分；②基础数据信息和会计信息资料完整计0.3分；③基础数据信息和会计信息资料准确计0.3分。</w:t>
            </w:r>
          </w:p>
        </w:tc>
      </w:tr>
      <w:tr w:rsidR="00B76A0A">
        <w:trPr>
          <w:trHeight w:val="1262"/>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val="restart"/>
            <w:tcBorders>
              <w:top w:val="nil"/>
              <w:left w:val="nil"/>
              <w:bottom w:val="nil"/>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r>
              <w:rPr>
                <w:rFonts w:ascii="仿宋_GB2312" w:hAnsi="宋体" w:hint="eastAsia"/>
                <w:color w:val="000000"/>
              </w:rPr>
              <w:t>资产</w:t>
            </w:r>
            <w:r>
              <w:rPr>
                <w:rFonts w:ascii="仿宋_GB2312" w:hAnsi="宋体" w:hint="eastAsia"/>
                <w:color w:val="000000"/>
              </w:rPr>
              <w:br/>
            </w:r>
            <w:r>
              <w:rPr>
                <w:rFonts w:ascii="仿宋_GB2312" w:hAnsi="宋体" w:hint="eastAsia"/>
                <w:color w:val="000000"/>
              </w:rPr>
              <w:t>管理</w:t>
            </w:r>
          </w:p>
          <w:p w:rsidR="00B76A0A" w:rsidRDefault="009A53DD">
            <w:pPr>
              <w:spacing w:line="240" w:lineRule="exact"/>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管理制度健全性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①制定或具有资产管理制度计1分；②相关资金管理制度合法、合</w:t>
            </w:r>
            <w:proofErr w:type="gramStart"/>
            <w:r>
              <w:rPr>
                <w:rFonts w:ascii="宋体" w:hAnsi="宋体" w:hint="eastAsia"/>
                <w:color w:val="000000"/>
                <w:sz w:val="18"/>
                <w:szCs w:val="18"/>
              </w:rPr>
              <w:t>规</w:t>
            </w:r>
            <w:proofErr w:type="gramEnd"/>
            <w:r>
              <w:rPr>
                <w:rFonts w:ascii="宋体" w:hAnsi="宋体" w:hint="eastAsia"/>
                <w:color w:val="000000"/>
                <w:sz w:val="18"/>
                <w:szCs w:val="18"/>
              </w:rPr>
              <w:t>、完整计0.5分；③相关资产管理制度得到有效执行计0.5分。</w:t>
            </w:r>
          </w:p>
        </w:tc>
      </w:tr>
      <w:tr w:rsidR="00B76A0A">
        <w:trPr>
          <w:trHeight w:val="1050"/>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nil"/>
              <w:right w:val="single" w:sz="4" w:space="0" w:color="auto"/>
            </w:tcBorders>
            <w:vAlign w:val="center"/>
          </w:tcPr>
          <w:p w:rsidR="00B76A0A" w:rsidRDefault="00B76A0A">
            <w:pPr>
              <w:widowControl/>
              <w:jc w:val="left"/>
              <w:rPr>
                <w:rFonts w:ascii="仿宋_GB2312" w:hAnsi="宋体"/>
                <w:color w:val="000000"/>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资产管理安全性</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（2分）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部门的资产是否保存完整、使用合</w:t>
            </w:r>
            <w:proofErr w:type="gramStart"/>
            <w:r>
              <w:rPr>
                <w:rFonts w:ascii="宋体" w:hAnsi="宋体" w:hint="eastAsia"/>
                <w:color w:val="000000"/>
                <w:sz w:val="18"/>
                <w:szCs w:val="18"/>
              </w:rPr>
              <w:t>规</w:t>
            </w:r>
            <w:proofErr w:type="gramEnd"/>
            <w:r>
              <w:rPr>
                <w:rFonts w:ascii="宋体" w:hAnsi="宋体" w:hint="eastAsia"/>
                <w:color w:val="000000"/>
                <w:sz w:val="18"/>
                <w:szCs w:val="18"/>
              </w:rPr>
              <w:t>、配置合理、处置规范、收入及时足额上缴，用以反映和考核部门资产安全运行情况。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①资产保存完整计0.4分；②资产配置合理计0.4分；③资产处置规范计0.4分；④资产账务管理合</w:t>
            </w:r>
            <w:proofErr w:type="gramStart"/>
            <w:r>
              <w:rPr>
                <w:rFonts w:ascii="宋体" w:hAnsi="宋体" w:hint="eastAsia"/>
                <w:color w:val="000000"/>
                <w:sz w:val="18"/>
                <w:szCs w:val="18"/>
              </w:rPr>
              <w:t>规</w:t>
            </w:r>
            <w:proofErr w:type="gramEnd"/>
            <w:r>
              <w:rPr>
                <w:rFonts w:ascii="宋体" w:hAnsi="宋体" w:hint="eastAsia"/>
                <w:color w:val="000000"/>
                <w:sz w:val="18"/>
                <w:szCs w:val="18"/>
              </w:rPr>
              <w:t>、帐实相符计0.4分；⑤资产有偿使用及处置收入及时足额上缴计0.4分。</w:t>
            </w:r>
          </w:p>
        </w:tc>
      </w:tr>
      <w:tr w:rsidR="00B76A0A">
        <w:trPr>
          <w:trHeight w:val="880"/>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nil"/>
              <w:right w:val="single" w:sz="4" w:space="0" w:color="auto"/>
            </w:tcBorders>
            <w:vAlign w:val="center"/>
          </w:tcPr>
          <w:p w:rsidR="00B76A0A" w:rsidRDefault="00B76A0A">
            <w:pPr>
              <w:widowControl/>
              <w:jc w:val="left"/>
              <w:rPr>
                <w:rFonts w:ascii="仿宋_GB2312" w:hAnsi="宋体"/>
                <w:color w:val="000000"/>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固定资产利用率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7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固定资产利用率=（实际在用固定资产总额/所有固定资产总额）×100%。利用率为100%的计1分，每降1个百分点扣0.1分，扣完为止。</w:t>
            </w:r>
          </w:p>
        </w:tc>
      </w:tr>
      <w:tr w:rsidR="00B76A0A">
        <w:trPr>
          <w:trHeight w:val="1314"/>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r>
              <w:rPr>
                <w:rFonts w:ascii="仿宋_GB2312" w:hAnsi="宋体" w:hint="eastAsia"/>
                <w:color w:val="000000"/>
              </w:rPr>
              <w:lastRenderedPageBreak/>
              <w:t>产</w:t>
            </w:r>
            <w:r>
              <w:rPr>
                <w:rFonts w:ascii="仿宋_GB2312" w:hAnsi="宋体" w:hint="eastAsia"/>
                <w:color w:val="000000"/>
              </w:rPr>
              <w:t xml:space="preserve">  </w:t>
            </w:r>
            <w:r>
              <w:rPr>
                <w:rFonts w:ascii="仿宋_GB2312" w:hAnsi="宋体" w:hint="eastAsia"/>
                <w:color w:val="000000"/>
              </w:rPr>
              <w:t>出（</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sz w:val="18"/>
                <w:szCs w:val="18"/>
              </w:rPr>
            </w:pPr>
            <w:r>
              <w:rPr>
                <w:rFonts w:ascii="仿宋_GB2312" w:hAnsi="宋体" w:hint="eastAsia"/>
                <w:color w:val="000000"/>
                <w:sz w:val="18"/>
                <w:szCs w:val="18"/>
              </w:rPr>
              <w:t>职责</w:t>
            </w:r>
            <w:r>
              <w:rPr>
                <w:rFonts w:ascii="仿宋_GB2312" w:hAnsi="宋体" w:hint="eastAsia"/>
                <w:color w:val="000000"/>
                <w:sz w:val="18"/>
                <w:szCs w:val="18"/>
              </w:rPr>
              <w:br/>
            </w:r>
            <w:r>
              <w:rPr>
                <w:rFonts w:ascii="仿宋_GB2312" w:hAnsi="宋体" w:hint="eastAsia"/>
                <w:color w:val="000000"/>
                <w:sz w:val="18"/>
                <w:szCs w:val="18"/>
              </w:rPr>
              <w:t>履行</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实际</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完成率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（8分）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6F6071">
            <w:pPr>
              <w:spacing w:line="240" w:lineRule="exact"/>
              <w:jc w:val="center"/>
              <w:rPr>
                <w:rFonts w:ascii="宋体" w:hAnsi="宋体"/>
                <w:color w:val="000000"/>
                <w:sz w:val="18"/>
                <w:szCs w:val="18"/>
              </w:rPr>
            </w:pPr>
            <w:r>
              <w:rPr>
                <w:rFonts w:ascii="宋体" w:hAnsi="宋体" w:hint="eastAsia"/>
                <w:color w:val="000000"/>
                <w:sz w:val="18"/>
                <w:szCs w:val="18"/>
              </w:rPr>
              <w:t>7</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部门履行职责而实际完成工作数与计划工作数的比率，用以反映和考核部门</w:t>
            </w:r>
            <w:proofErr w:type="gramStart"/>
            <w:r>
              <w:rPr>
                <w:rFonts w:ascii="宋体" w:hAnsi="宋体" w:hint="eastAsia"/>
                <w:color w:val="000000"/>
                <w:sz w:val="18"/>
                <w:szCs w:val="18"/>
              </w:rPr>
              <w:t>履</w:t>
            </w:r>
            <w:proofErr w:type="gramEnd"/>
            <w:r>
              <w:rPr>
                <w:rFonts w:ascii="宋体" w:hAnsi="宋体" w:hint="eastAsia"/>
                <w:color w:val="000000"/>
                <w:sz w:val="18"/>
                <w:szCs w:val="18"/>
              </w:rPr>
              <w:t>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实际完成率得分=完成市委市政府绩效考核得分或上级主管部门考核指标得分/指标分值*8分</w:t>
            </w:r>
          </w:p>
        </w:tc>
      </w:tr>
      <w:tr w:rsidR="00B76A0A">
        <w:trPr>
          <w:trHeight w:val="1286"/>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完成</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及时率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（4分）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完成及时率=（及时完成实际工作数/计划工作数）×100%。1-4季度各得1分</w:t>
            </w:r>
          </w:p>
        </w:tc>
      </w:tr>
      <w:tr w:rsidR="00B76A0A">
        <w:trPr>
          <w:trHeight w:val="1370"/>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质量</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达标率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（8分）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7</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质量达标率=（质量达标实际工作数/计划工作数）×100%。实际得分=达标率*8分</w:t>
            </w:r>
          </w:p>
        </w:tc>
      </w:tr>
      <w:tr w:rsidR="00B76A0A">
        <w:trPr>
          <w:trHeight w:val="1197"/>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重点工作办结率</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（10分）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6F6071">
            <w:pPr>
              <w:spacing w:line="240" w:lineRule="exact"/>
              <w:jc w:val="center"/>
              <w:rPr>
                <w:rFonts w:ascii="宋体" w:hAnsi="宋体"/>
                <w:color w:val="000000"/>
                <w:sz w:val="18"/>
                <w:szCs w:val="18"/>
              </w:rPr>
            </w:pPr>
            <w:r>
              <w:rPr>
                <w:rFonts w:ascii="宋体" w:hAnsi="宋体" w:hint="eastAsia"/>
                <w:color w:val="000000"/>
                <w:sz w:val="18"/>
                <w:szCs w:val="18"/>
              </w:rPr>
              <w:t>10</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重点工作办结率=（重点工作实际完成数/交办或下达数）×100%。实际得分=办结率*10分</w:t>
            </w:r>
          </w:p>
        </w:tc>
      </w:tr>
      <w:tr w:rsidR="00B76A0A">
        <w:trPr>
          <w:trHeight w:val="910"/>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rPr>
            </w:pPr>
            <w:proofErr w:type="gramStart"/>
            <w:r>
              <w:rPr>
                <w:rFonts w:ascii="仿宋_GB2312" w:hAnsi="宋体" w:hint="eastAsia"/>
                <w:color w:val="000000"/>
              </w:rPr>
              <w:t>效</w:t>
            </w:r>
            <w:proofErr w:type="gramEnd"/>
            <w:r>
              <w:rPr>
                <w:rFonts w:ascii="仿宋_GB2312" w:hAnsi="宋体" w:hint="eastAsia"/>
                <w:color w:val="000000"/>
              </w:rPr>
              <w:t xml:space="preserve">  </w:t>
            </w:r>
            <w:r>
              <w:rPr>
                <w:rFonts w:ascii="仿宋_GB2312" w:hAnsi="宋体" w:hint="eastAsia"/>
                <w:color w:val="000000"/>
              </w:rPr>
              <w:t>果（</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仿宋_GB2312" w:hAnsi="宋体"/>
                <w:color w:val="000000"/>
                <w:sz w:val="18"/>
                <w:szCs w:val="18"/>
              </w:rPr>
            </w:pPr>
            <w:r>
              <w:rPr>
                <w:rFonts w:ascii="仿宋_GB2312" w:hAnsi="宋体" w:hint="eastAsia"/>
                <w:color w:val="000000"/>
                <w:sz w:val="18"/>
                <w:szCs w:val="18"/>
              </w:rPr>
              <w:t>履职</w:t>
            </w:r>
            <w:r>
              <w:rPr>
                <w:rFonts w:ascii="仿宋_GB2312" w:hAnsi="宋体" w:hint="eastAsia"/>
                <w:color w:val="000000"/>
                <w:sz w:val="18"/>
                <w:szCs w:val="18"/>
              </w:rPr>
              <w:br/>
            </w:r>
            <w:r>
              <w:rPr>
                <w:rFonts w:ascii="仿宋_GB2312" w:hAnsi="宋体" w:hint="eastAsia"/>
                <w:color w:val="000000"/>
                <w:sz w:val="18"/>
                <w:szCs w:val="18"/>
              </w:rPr>
              <w:t>效益</w:t>
            </w:r>
          </w:p>
          <w:p w:rsidR="00B76A0A" w:rsidRDefault="009A53DD">
            <w:pPr>
              <w:spacing w:line="240" w:lineRule="exact"/>
              <w:jc w:val="center"/>
              <w:rPr>
                <w:rFonts w:ascii="仿宋_GB2312" w:hAnsi="宋体"/>
                <w:color w:val="000000"/>
                <w:sz w:val="18"/>
                <w:szCs w:val="18"/>
              </w:rPr>
            </w:pPr>
            <w:r>
              <w:rPr>
                <w:rFonts w:ascii="仿宋_GB2312" w:hAnsi="宋体" w:hint="eastAsia"/>
                <w:color w:val="000000"/>
                <w:sz w:val="18"/>
                <w:szCs w:val="18"/>
              </w:rPr>
              <w:t>（</w:t>
            </w:r>
            <w:r>
              <w:rPr>
                <w:rFonts w:ascii="仿宋_GB2312" w:eastAsia="仿宋_GB2312" w:hAnsi="宋体" w:hint="eastAsia"/>
                <w:color w:val="000000"/>
                <w:sz w:val="18"/>
                <w:szCs w:val="18"/>
              </w:rPr>
              <w:t>20</w:t>
            </w:r>
            <w:r>
              <w:rPr>
                <w:rFonts w:ascii="宋体" w:hAnsi="宋体" w:hint="eastAsia"/>
                <w:color w:val="000000"/>
                <w:sz w:val="18"/>
                <w:szCs w:val="18"/>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经济效益</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5</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部门履行职责对经济发展所带来的直接或间接影响。</w:t>
            </w:r>
          </w:p>
        </w:tc>
        <w:tc>
          <w:tcPr>
            <w:tcW w:w="4372"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kern w:val="0"/>
                <w:sz w:val="18"/>
                <w:szCs w:val="18"/>
              </w:rPr>
              <w:t>按经济效益实现程度计算得分（5分）；按社会效益实现程度计算得分（5分）；按生态效益实现程度计算得分（5分）</w:t>
            </w:r>
          </w:p>
        </w:tc>
      </w:tr>
      <w:tr w:rsidR="00B76A0A">
        <w:trPr>
          <w:trHeight w:val="810"/>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社会效益</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5</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部门履行职责对社会发展所带来的直接或间接影响。</w:t>
            </w:r>
          </w:p>
        </w:tc>
        <w:tc>
          <w:tcPr>
            <w:tcW w:w="4372"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r>
      <w:tr w:rsidR="00B76A0A">
        <w:trPr>
          <w:trHeight w:val="827"/>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生态效益</w:t>
            </w:r>
          </w:p>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（5分）</w:t>
            </w:r>
          </w:p>
        </w:tc>
        <w:tc>
          <w:tcPr>
            <w:tcW w:w="684" w:type="dxa"/>
            <w:tcBorders>
              <w:top w:val="single" w:sz="4" w:space="0" w:color="auto"/>
              <w:left w:val="nil"/>
              <w:bottom w:val="single" w:sz="4" w:space="0" w:color="auto"/>
              <w:right w:val="single" w:sz="4" w:space="0" w:color="auto"/>
            </w:tcBorders>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5</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部门履行职责对生态环境所带来的直接或间接影响。</w:t>
            </w:r>
          </w:p>
        </w:tc>
        <w:tc>
          <w:tcPr>
            <w:tcW w:w="4372" w:type="dxa"/>
            <w:vMerge/>
            <w:tcBorders>
              <w:top w:val="nil"/>
              <w:left w:val="nil"/>
              <w:bottom w:val="single" w:sz="4" w:space="0" w:color="auto"/>
              <w:right w:val="single" w:sz="4" w:space="0" w:color="auto"/>
            </w:tcBorders>
            <w:vAlign w:val="center"/>
          </w:tcPr>
          <w:p w:rsidR="00B76A0A" w:rsidRDefault="00B76A0A">
            <w:pPr>
              <w:widowControl/>
              <w:jc w:val="left"/>
              <w:rPr>
                <w:rFonts w:ascii="宋体" w:hAnsi="宋体"/>
                <w:color w:val="000000"/>
                <w:sz w:val="18"/>
                <w:szCs w:val="18"/>
              </w:rPr>
            </w:pPr>
          </w:p>
        </w:tc>
      </w:tr>
      <w:tr w:rsidR="00B76A0A">
        <w:trPr>
          <w:trHeight w:val="1296"/>
          <w:jc w:val="center"/>
        </w:trPr>
        <w:tc>
          <w:tcPr>
            <w:tcW w:w="828"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spacing w:line="240" w:lineRule="exact"/>
              <w:jc w:val="center"/>
              <w:rPr>
                <w:rFonts w:ascii="宋体" w:hAnsi="宋体"/>
                <w:color w:val="000000"/>
                <w:sz w:val="18"/>
                <w:szCs w:val="18"/>
              </w:rPr>
            </w:pPr>
            <w:r>
              <w:rPr>
                <w:rFonts w:ascii="宋体" w:hAnsi="宋体" w:hint="eastAsia"/>
                <w:color w:val="000000"/>
                <w:sz w:val="18"/>
                <w:szCs w:val="18"/>
              </w:rPr>
              <w:t>社会公众或服务对象满意度（5分）</w:t>
            </w:r>
          </w:p>
        </w:tc>
        <w:tc>
          <w:tcPr>
            <w:tcW w:w="6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B76A0A" w:rsidRDefault="0032362C">
            <w:pPr>
              <w:spacing w:line="240" w:lineRule="exact"/>
              <w:jc w:val="center"/>
              <w:rPr>
                <w:rFonts w:ascii="宋体" w:hAnsi="宋体"/>
                <w:color w:val="000000"/>
                <w:sz w:val="18"/>
                <w:szCs w:val="18"/>
              </w:rPr>
            </w:pPr>
            <w:r>
              <w:rPr>
                <w:rFonts w:ascii="宋体" w:hAnsi="宋体" w:hint="eastAsia"/>
                <w:color w:val="000000"/>
                <w:sz w:val="18"/>
                <w:szCs w:val="18"/>
              </w:rPr>
              <w:t>4</w:t>
            </w:r>
          </w:p>
        </w:tc>
        <w:tc>
          <w:tcPr>
            <w:tcW w:w="2476"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sz w:val="18"/>
                <w:szCs w:val="18"/>
              </w:rPr>
              <w:t>社会公众或部门的服务对象对部门履职效果的满意程度。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B76A0A" w:rsidRDefault="009A53DD">
            <w:pPr>
              <w:autoSpaceDE w:val="0"/>
              <w:spacing w:line="240" w:lineRule="exact"/>
              <w:ind w:leftChars="20" w:left="42"/>
              <w:rPr>
                <w:rFonts w:ascii="宋体" w:hAnsi="宋体"/>
                <w:color w:val="000000"/>
                <w:sz w:val="18"/>
                <w:szCs w:val="18"/>
              </w:rPr>
            </w:pPr>
            <w:r>
              <w:rPr>
                <w:rFonts w:ascii="宋体" w:hAnsi="宋体" w:hint="eastAsia"/>
                <w:color w:val="000000"/>
                <w:kern w:val="0"/>
                <w:sz w:val="18"/>
                <w:szCs w:val="18"/>
              </w:rPr>
              <w:t>按收集到的服务对象的满意率计算得分（5分）</w:t>
            </w:r>
          </w:p>
        </w:tc>
      </w:tr>
    </w:tbl>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pacing w:line="560" w:lineRule="exact"/>
        <w:ind w:firstLine="560"/>
        <w:rPr>
          <w:rFonts w:ascii="黑体" w:eastAsia="黑体" w:hAnsi="黑体"/>
          <w:color w:val="000000"/>
          <w:sz w:val="28"/>
          <w:szCs w:val="28"/>
        </w:rPr>
      </w:pPr>
    </w:p>
    <w:p w:rsidR="00B76A0A" w:rsidRDefault="00B76A0A">
      <w:pPr>
        <w:spacing w:line="560" w:lineRule="exact"/>
        <w:ind w:firstLine="560"/>
        <w:rPr>
          <w:rFonts w:ascii="黑体" w:eastAsia="黑体" w:hAnsi="黑体"/>
          <w:color w:val="000000"/>
          <w:sz w:val="28"/>
          <w:szCs w:val="28"/>
        </w:rPr>
      </w:pPr>
    </w:p>
    <w:p w:rsidR="00B76A0A" w:rsidRDefault="009A53DD">
      <w:pPr>
        <w:spacing w:line="560" w:lineRule="exact"/>
        <w:ind w:firstLine="560"/>
        <w:rPr>
          <w:rFonts w:ascii="黑体" w:eastAsia="黑体" w:hAnsi="黑体"/>
          <w:color w:val="000000"/>
          <w:sz w:val="28"/>
          <w:szCs w:val="28"/>
        </w:rPr>
      </w:pPr>
      <w:r>
        <w:rPr>
          <w:rFonts w:ascii="黑体" w:eastAsia="黑体" w:hAnsi="黑体" w:hint="eastAsia"/>
          <w:color w:val="000000"/>
          <w:sz w:val="28"/>
          <w:szCs w:val="28"/>
        </w:rPr>
        <w:lastRenderedPageBreak/>
        <w:t>附件2</w:t>
      </w:r>
    </w:p>
    <w:p w:rsidR="00B76A0A" w:rsidRDefault="009A53DD">
      <w:pPr>
        <w:spacing w:line="600" w:lineRule="exact"/>
        <w:ind w:firstLine="880"/>
        <w:jc w:val="center"/>
        <w:rPr>
          <w:rFonts w:ascii="方正小标宋_GBK" w:eastAsia="方正小标宋_GBK" w:hAnsi="黑体"/>
          <w:color w:val="000000"/>
          <w:sz w:val="44"/>
          <w:szCs w:val="44"/>
        </w:rPr>
      </w:pPr>
      <w:r>
        <w:rPr>
          <w:rFonts w:ascii="方正小标宋_GBK" w:eastAsia="方正小标宋_GBK" w:hAnsi="黑体" w:hint="eastAsia"/>
          <w:color w:val="000000"/>
          <w:sz w:val="44"/>
          <w:szCs w:val="44"/>
        </w:rPr>
        <w:t>2020年项目支出绩效自评指标计分表</w:t>
      </w:r>
    </w:p>
    <w:p w:rsidR="00B76A0A" w:rsidRDefault="00B76A0A">
      <w:pPr>
        <w:spacing w:line="400" w:lineRule="exact"/>
        <w:ind w:firstLine="880"/>
        <w:jc w:val="center"/>
        <w:rPr>
          <w:rFonts w:ascii="方正小标宋_GBK" w:eastAsia="方正小标宋_GBK" w:hAnsi="黑体"/>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1"/>
        <w:gridCol w:w="848"/>
        <w:gridCol w:w="773"/>
        <w:gridCol w:w="712"/>
        <w:gridCol w:w="3136"/>
        <w:gridCol w:w="3760"/>
      </w:tblGrid>
      <w:tr w:rsidR="00B76A0A">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一级</w:t>
            </w:r>
          </w:p>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848"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二级</w:t>
            </w:r>
          </w:p>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三级</w:t>
            </w:r>
          </w:p>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12"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自评分</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具体指标</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评价标准</w:t>
            </w:r>
          </w:p>
        </w:tc>
      </w:tr>
      <w:tr w:rsidR="00B76A0A">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决策</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20</w:t>
            </w:r>
            <w:r>
              <w:rPr>
                <w:rFonts w:ascii="宋体" w:hAnsi="宋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目标</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目标</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内容</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tcPr>
          <w:p w:rsidR="00B76A0A" w:rsidRDefault="009A53DD">
            <w:pPr>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设立了项目绩效目标；目标明确；目标细化；目标量化</w:t>
            </w:r>
          </w:p>
        </w:tc>
        <w:tc>
          <w:tcPr>
            <w:tcW w:w="3760" w:type="dxa"/>
            <w:tcBorders>
              <w:top w:val="single" w:sz="4" w:space="0" w:color="auto"/>
              <w:left w:val="nil"/>
              <w:bottom w:val="single" w:sz="4" w:space="0" w:color="auto"/>
              <w:right w:val="single" w:sz="4" w:space="0" w:color="auto"/>
            </w:tcBorders>
            <w:vAlign w:val="center"/>
          </w:tcPr>
          <w:p w:rsidR="00B76A0A" w:rsidRDefault="009A53DD">
            <w:pPr>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设有目标（</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76A0A" w:rsidRDefault="009A53DD">
            <w:pPr>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目标明确（</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76A0A" w:rsidRDefault="009A53DD">
            <w:pPr>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目标细化（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76A0A" w:rsidRDefault="009A53DD">
            <w:pPr>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目标量化（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决策</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过程</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依据</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有关法律法规的明确规定；某一经济社会发展规划；某部门年度工作计划；某一实际问题和需求</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符合法律法规（</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分）符合经济社会发展规划（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部门年度工作计划（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针对某一实际问题和需求（</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程序</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项目符合申报条件；申报、批复程序符合相关管理办法；项目调整履行了相应手续</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符合申报条件（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分）项目申报、批复程序符合管理办法（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项目调整履行了相应手续（</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资金</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分配</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分配</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办法</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根据需要制定的相关资金管理办法；管理办法中有明确资金分配办法；资金分配因素全面、合理</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有相应的资金管理办法（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办法健全、规范（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因素全面合理（</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分配</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结果</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6F6071">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资金分配符合相关管理办法；分配结果公平合理</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符合分配办法（</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分配公平合理（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76A0A">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资金</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到位</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到位率</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实际到位</w:t>
            </w:r>
            <w:r>
              <w:rPr>
                <w:rFonts w:ascii="仿宋_GB2312" w:eastAsia="仿宋_GB2312" w:hAnsi="宋体" w:hint="eastAsia"/>
                <w:color w:val="000000"/>
                <w:kern w:val="0"/>
                <w:sz w:val="20"/>
                <w:szCs w:val="20"/>
              </w:rPr>
              <w:t>/</w:t>
            </w:r>
            <w:r>
              <w:rPr>
                <w:rFonts w:ascii="宋体" w:hAnsi="宋体" w:hint="eastAsia"/>
                <w:color w:val="000000"/>
                <w:kern w:val="0"/>
                <w:sz w:val="20"/>
                <w:szCs w:val="20"/>
              </w:rPr>
              <w:t>计划到位</w:t>
            </w:r>
            <w:r>
              <w:rPr>
                <w:rFonts w:ascii="仿宋_GB2312" w:eastAsia="仿宋_GB2312" w:hAnsi="宋体" w:hint="eastAsia"/>
                <w:color w:val="000000"/>
                <w:kern w:val="0"/>
                <w:sz w:val="20"/>
                <w:szCs w:val="20"/>
              </w:rPr>
              <w:t>*100%</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根据项目资金的实际到位率计算得分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到位</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时效</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资金及时到位；若未及时到位，是否影响项目进度</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到位及时（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不及时但未影响项目进度</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不及时并影响项目进度（</w:t>
            </w:r>
            <w:r>
              <w:rPr>
                <w:rFonts w:ascii="仿宋_GB2312" w:eastAsia="仿宋_GB2312" w:hAnsi="宋体" w:hint="eastAsia"/>
                <w:color w:val="000000"/>
                <w:kern w:val="0"/>
                <w:sz w:val="20"/>
                <w:szCs w:val="20"/>
              </w:rPr>
              <w:t>0.5</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资金</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管理</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资金</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使用</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7</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支出依据合</w:t>
            </w:r>
            <w:proofErr w:type="gramStart"/>
            <w:r>
              <w:rPr>
                <w:rFonts w:ascii="仿宋_GB2312" w:hAnsi="宋体" w:hint="eastAsia"/>
                <w:color w:val="000000"/>
                <w:kern w:val="0"/>
                <w:sz w:val="20"/>
                <w:szCs w:val="20"/>
              </w:rPr>
              <w:t>规</w:t>
            </w:r>
            <w:proofErr w:type="gramEnd"/>
            <w:r>
              <w:rPr>
                <w:rFonts w:ascii="仿宋_GB2312" w:hAnsi="宋体" w:hint="eastAsia"/>
                <w:color w:val="000000"/>
                <w:kern w:val="0"/>
                <w:sz w:val="20"/>
                <w:szCs w:val="20"/>
              </w:rPr>
              <w:t>，无虚列项目支出情况；无截留挤占挪用情况；无超标准开支情况；无超预算情况</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虚列套取扣</w:t>
            </w:r>
            <w:r>
              <w:rPr>
                <w:rFonts w:ascii="仿宋_GB2312" w:eastAsia="仿宋_GB2312" w:hAnsi="宋体" w:hint="eastAsia"/>
                <w:color w:val="000000"/>
                <w:kern w:val="0"/>
                <w:sz w:val="20"/>
                <w:szCs w:val="20"/>
              </w:rPr>
              <w:t>4-7</w:t>
            </w:r>
            <w:r>
              <w:rPr>
                <w:rFonts w:ascii="宋体" w:hAnsi="宋体" w:hint="eastAsia"/>
                <w:color w:val="000000"/>
                <w:kern w:val="0"/>
                <w:sz w:val="20"/>
                <w:szCs w:val="20"/>
              </w:rPr>
              <w:t xml:space="preserve">分 </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依据不合</w:t>
            </w:r>
            <w:proofErr w:type="gramStart"/>
            <w:r>
              <w:rPr>
                <w:rFonts w:ascii="仿宋_GB2312" w:hAnsi="宋体" w:hint="eastAsia"/>
                <w:color w:val="000000"/>
                <w:kern w:val="0"/>
                <w:sz w:val="20"/>
                <w:szCs w:val="20"/>
              </w:rPr>
              <w:t>规</w:t>
            </w:r>
            <w:proofErr w:type="gramEnd"/>
            <w:r>
              <w:rPr>
                <w:rFonts w:ascii="仿宋_GB2312" w:hAnsi="宋体" w:hint="eastAsia"/>
                <w:color w:val="000000"/>
                <w:kern w:val="0"/>
                <w:sz w:val="20"/>
                <w:szCs w:val="20"/>
              </w:rPr>
              <w:t>扣</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截留、挤占、挪用扣</w:t>
            </w:r>
            <w:r>
              <w:rPr>
                <w:rFonts w:ascii="仿宋_GB2312" w:eastAsia="仿宋_GB2312" w:hAnsi="宋体" w:hint="eastAsia"/>
                <w:color w:val="000000"/>
                <w:kern w:val="0"/>
                <w:sz w:val="20"/>
                <w:szCs w:val="20"/>
              </w:rPr>
              <w:t>3-6</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hAnsi="宋体"/>
                <w:color w:val="000000"/>
                <w:kern w:val="0"/>
                <w:sz w:val="20"/>
                <w:szCs w:val="20"/>
              </w:rPr>
            </w:pPr>
            <w:r>
              <w:rPr>
                <w:rFonts w:ascii="仿宋_GB2312" w:hAnsi="宋体" w:hint="eastAsia"/>
                <w:color w:val="000000"/>
                <w:kern w:val="0"/>
                <w:sz w:val="20"/>
                <w:szCs w:val="20"/>
              </w:rPr>
              <w:t>超标准开支扣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超预算扣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财务</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管理</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资金管理、费用支出等制度健全；制度执行严格；会计核算规范</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财务制度健全（</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分）严格执行制度（</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分）会计核算规范（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组织</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实施</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组织</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机构</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实施</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项目按计划开工；按计划进度开展；按计划完工</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按计划开工（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按计划开展（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按计划完工（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制度</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6</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项目管理制度健全；严格执行相关管理制度</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管理制度健全（</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制度执行严格（</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76A0A">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76A0A" w:rsidRDefault="00B76A0A">
            <w:pPr>
              <w:widowControl/>
              <w:spacing w:line="260" w:lineRule="exact"/>
              <w:jc w:val="center"/>
              <w:rPr>
                <w:rFonts w:ascii="仿宋_GB2312" w:eastAsia="仿宋_GB2312" w:hAnsi="宋体" w:cs="宋体"/>
                <w:color w:val="000000"/>
                <w:kern w:val="0"/>
                <w:sz w:val="20"/>
                <w:szCs w:val="20"/>
              </w:rPr>
            </w:pPr>
          </w:p>
          <w:p w:rsidR="00B76A0A" w:rsidRDefault="00B76A0A">
            <w:pPr>
              <w:widowControl/>
              <w:spacing w:line="260" w:lineRule="exact"/>
              <w:jc w:val="center"/>
              <w:rPr>
                <w:rFonts w:ascii="仿宋_GB2312" w:hAnsi="宋体"/>
                <w:color w:val="000000"/>
                <w:kern w:val="0"/>
                <w:sz w:val="20"/>
                <w:szCs w:val="20"/>
              </w:rPr>
            </w:pPr>
          </w:p>
          <w:p w:rsidR="00B76A0A" w:rsidRDefault="00B76A0A">
            <w:pPr>
              <w:widowControl/>
              <w:spacing w:line="260" w:lineRule="exact"/>
              <w:jc w:val="center"/>
              <w:rPr>
                <w:rFonts w:ascii="仿宋_GB2312" w:hAnsi="宋体"/>
                <w:color w:val="000000"/>
                <w:kern w:val="0"/>
                <w:sz w:val="20"/>
                <w:szCs w:val="20"/>
              </w:rPr>
            </w:pP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绩效</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tcPr>
          <w:p w:rsidR="00B76A0A" w:rsidRDefault="00B76A0A">
            <w:pPr>
              <w:widowControl/>
              <w:spacing w:line="260" w:lineRule="exact"/>
              <w:jc w:val="center"/>
              <w:rPr>
                <w:rFonts w:ascii="仿宋_GB2312" w:eastAsia="仿宋_GB2312" w:hAnsi="宋体" w:cs="宋体"/>
                <w:color w:val="000000"/>
                <w:kern w:val="0"/>
                <w:sz w:val="20"/>
                <w:szCs w:val="20"/>
              </w:rPr>
            </w:pPr>
          </w:p>
          <w:p w:rsidR="00B76A0A" w:rsidRDefault="00B76A0A">
            <w:pPr>
              <w:widowControl/>
              <w:spacing w:line="260" w:lineRule="exact"/>
              <w:jc w:val="center"/>
              <w:rPr>
                <w:rFonts w:ascii="仿宋_GB2312" w:hAnsi="宋体"/>
                <w:color w:val="000000"/>
                <w:kern w:val="0"/>
                <w:sz w:val="20"/>
                <w:szCs w:val="20"/>
              </w:rPr>
            </w:pP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产出</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数量</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根据该项目实际，标识具体明确的产出数量</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对照绩效目标，按实际产出数量率计算得分（</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质量</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根据该项目实际，标识具体明确的产出质量</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对照绩效目标，按实际产出质量率计算得分（</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时效</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根据该项目实际，标识具体明确的产出时效</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对照绩效目标，按实际产出时效率计算得分（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成本</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根据该项目实际，标识具体明确的产出成本</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对照绩效目标，按实际产出成本率计算得分（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76A0A" w:rsidRDefault="00B76A0A">
            <w:pPr>
              <w:widowControl/>
              <w:spacing w:line="260" w:lineRule="exact"/>
              <w:rPr>
                <w:rFonts w:ascii="仿宋_GB2312" w:eastAsia="仿宋_GB2312" w:hAnsi="宋体" w:cs="宋体"/>
                <w:color w:val="000000"/>
                <w:kern w:val="0"/>
                <w:sz w:val="20"/>
                <w:szCs w:val="20"/>
              </w:rPr>
            </w:pP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效果</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经济</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效益</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6F6071">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根据项目实际，标识所产生的直接或间接的经济效益</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对照绩效目标，按经济效益实现程度计算得分（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76A0A">
        <w:trPr>
          <w:trHeight w:val="825"/>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社会</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效益</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根据项目实际，标识所产生的社会效益</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对照绩效目标，按社会效益实现程度计算得分（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环境</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效益</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32362C">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根据项目实际，标识对环境所产生的积极或消极影响</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对照绩效目标，按对环境所产生的实际影响程度计算得分（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可持续影响</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6F6071">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项目产出能持续运用；项目运行所依赖的政策制度能持续执行</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所依赖的政策制度能持续执行（</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76A0A">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76A0A" w:rsidRDefault="00B76A0A">
            <w:pPr>
              <w:widowControl/>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服务</w:t>
            </w:r>
          </w:p>
          <w:p w:rsidR="00B76A0A" w:rsidRDefault="009A53D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对象满意度</w:t>
            </w:r>
          </w:p>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76A0A" w:rsidRDefault="006F6071">
            <w:pPr>
              <w:widowControl/>
              <w:spacing w:line="26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项目预期服务对象对项目实施的满意程度</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autoSpaceDE w:val="0"/>
              <w:spacing w:line="260" w:lineRule="exact"/>
              <w:ind w:leftChars="20" w:left="42"/>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按收集到的项目服务对象的满意率计算得分（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76A0A">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黑体" w:eastAsia="黑体" w:hAnsi="黑体" w:hint="eastAsia"/>
                <w:color w:val="000000"/>
                <w:kern w:val="0"/>
                <w:sz w:val="20"/>
                <w:szCs w:val="20"/>
              </w:rPr>
              <w:t>总</w:t>
            </w:r>
            <w:r>
              <w:rPr>
                <w:rFonts w:ascii="Calibri" w:eastAsia="黑体" w:hAnsi="Calibri" w:cs="Calibri"/>
                <w:color w:val="000000"/>
                <w:kern w:val="0"/>
                <w:sz w:val="20"/>
                <w:szCs w:val="20"/>
              </w:rPr>
              <w:t> </w:t>
            </w:r>
            <w:r>
              <w:rPr>
                <w:rFonts w:ascii="黑体" w:eastAsia="黑体" w:hAnsi="黑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73"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12" w:type="dxa"/>
            <w:tcBorders>
              <w:top w:val="single" w:sz="4" w:space="0" w:color="auto"/>
              <w:left w:val="nil"/>
              <w:bottom w:val="single" w:sz="4" w:space="0" w:color="auto"/>
              <w:right w:val="single" w:sz="4" w:space="0" w:color="auto"/>
            </w:tcBorders>
            <w:vAlign w:val="center"/>
          </w:tcPr>
          <w:p w:rsidR="00B76A0A" w:rsidRDefault="00B76A0A">
            <w:pPr>
              <w:widowControl/>
              <w:spacing w:line="260" w:lineRule="exact"/>
              <w:jc w:val="center"/>
              <w:rPr>
                <w:rFonts w:ascii="仿宋_GB2312" w:eastAsia="仿宋_GB2312" w:hAnsi="宋体" w:cs="宋体"/>
                <w:color w:val="000000"/>
                <w:kern w:val="0"/>
                <w:sz w:val="20"/>
                <w:szCs w:val="20"/>
              </w:rPr>
            </w:pPr>
          </w:p>
        </w:tc>
        <w:tc>
          <w:tcPr>
            <w:tcW w:w="3136"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3760" w:type="dxa"/>
            <w:tcBorders>
              <w:top w:val="single" w:sz="4" w:space="0" w:color="auto"/>
              <w:left w:val="nil"/>
              <w:bottom w:val="single" w:sz="4" w:space="0" w:color="auto"/>
              <w:right w:val="single" w:sz="4" w:space="0" w:color="auto"/>
            </w:tcBorders>
            <w:vAlign w:val="center"/>
          </w:tcPr>
          <w:p w:rsidR="00B76A0A" w:rsidRDefault="009A53D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r>
    </w:tbl>
    <w:p w:rsidR="00B76A0A" w:rsidRDefault="00B76A0A">
      <w:pPr>
        <w:ind w:firstLine="640"/>
        <w:rPr>
          <w:rFonts w:ascii="仿宋_GB2312" w:hAnsi="宋体"/>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hd w:val="clear" w:color="auto" w:fill="FFFFFF"/>
        <w:spacing w:line="580" w:lineRule="exact"/>
        <w:ind w:firstLine="640"/>
        <w:rPr>
          <w:rFonts w:ascii="仿宋_GB2312" w:eastAsia="仿宋_GB2312"/>
          <w:color w:val="000000"/>
        </w:rPr>
      </w:pPr>
    </w:p>
    <w:p w:rsidR="00B76A0A" w:rsidRDefault="00B76A0A">
      <w:pPr>
        <w:spacing w:line="560" w:lineRule="exact"/>
        <w:ind w:firstLine="560"/>
        <w:rPr>
          <w:rFonts w:ascii="黑体" w:eastAsia="黑体" w:hAnsi="黑体"/>
          <w:color w:val="000000"/>
          <w:sz w:val="28"/>
          <w:szCs w:val="28"/>
        </w:rPr>
      </w:pPr>
    </w:p>
    <w:p w:rsidR="00B76A0A" w:rsidRDefault="00B76A0A">
      <w:pPr>
        <w:spacing w:line="560" w:lineRule="exact"/>
        <w:ind w:firstLine="560"/>
        <w:rPr>
          <w:rFonts w:ascii="黑体" w:eastAsia="黑体" w:hAnsi="黑体"/>
          <w:color w:val="000000"/>
          <w:sz w:val="28"/>
          <w:szCs w:val="28"/>
        </w:rPr>
      </w:pPr>
    </w:p>
    <w:p w:rsidR="00B76A0A" w:rsidRDefault="00B76A0A">
      <w:pPr>
        <w:ind w:firstLine="640"/>
      </w:pPr>
    </w:p>
    <w:sectPr w:rsidR="00B76A0A" w:rsidSect="00B76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B8" w:rsidRDefault="004C4AB8" w:rsidP="00D35D76">
      <w:r>
        <w:separator/>
      </w:r>
    </w:p>
  </w:endnote>
  <w:endnote w:type="continuationSeparator" w:id="0">
    <w:p w:rsidR="004C4AB8" w:rsidRDefault="004C4AB8" w:rsidP="00D3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B8" w:rsidRDefault="004C4AB8" w:rsidP="00D35D76">
      <w:r>
        <w:separator/>
      </w:r>
    </w:p>
  </w:footnote>
  <w:footnote w:type="continuationSeparator" w:id="0">
    <w:p w:rsidR="004C4AB8" w:rsidRDefault="004C4AB8" w:rsidP="00D3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FE"/>
    <w:rsid w:val="000C1E85"/>
    <w:rsid w:val="0032362C"/>
    <w:rsid w:val="00360A31"/>
    <w:rsid w:val="003D33B9"/>
    <w:rsid w:val="004C4AB8"/>
    <w:rsid w:val="00670E51"/>
    <w:rsid w:val="006F6071"/>
    <w:rsid w:val="009A53DD"/>
    <w:rsid w:val="00B76A0A"/>
    <w:rsid w:val="00B80626"/>
    <w:rsid w:val="00B90F87"/>
    <w:rsid w:val="00BE467A"/>
    <w:rsid w:val="00CB31FE"/>
    <w:rsid w:val="00D35D76"/>
    <w:rsid w:val="00E87878"/>
    <w:rsid w:val="17461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0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B76A0A"/>
    <w:pPr>
      <w:keepNext/>
      <w:keepLines/>
      <w:spacing w:before="340" w:after="330" w:line="560" w:lineRule="exact"/>
      <w:jc w:val="center"/>
      <w:outlineLvl w:val="0"/>
    </w:pPr>
    <w:rPr>
      <w:rFonts w:ascii="Calibri" w:eastAsia="方正小标宋_GBK" w:hAnsi="Calibri" w:cs="Calibri"/>
      <w:bCs/>
      <w:kern w:val="44"/>
      <w:sz w:val="44"/>
      <w:szCs w:val="44"/>
    </w:rPr>
  </w:style>
  <w:style w:type="paragraph" w:styleId="3">
    <w:name w:val="heading 3"/>
    <w:basedOn w:val="a"/>
    <w:next w:val="a"/>
    <w:link w:val="3Char"/>
    <w:uiPriority w:val="9"/>
    <w:unhideWhenUsed/>
    <w:qFormat/>
    <w:rsid w:val="00B76A0A"/>
    <w:pPr>
      <w:keepNext/>
      <w:keepLines/>
      <w:spacing w:before="260" w:after="260" w:line="560" w:lineRule="exact"/>
      <w:ind w:firstLineChars="200" w:firstLine="200"/>
      <w:outlineLvl w:val="2"/>
    </w:pPr>
    <w:rPr>
      <w:rFonts w:ascii="Calibri" w:eastAsia="楷体" w:hAnsi="Calibri" w:cs="Calibr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6A0A"/>
    <w:rPr>
      <w:rFonts w:ascii="Calibri" w:eastAsia="方正小标宋_GBK" w:hAnsi="Calibri" w:cs="Calibri"/>
      <w:bCs/>
      <w:kern w:val="44"/>
      <w:sz w:val="44"/>
      <w:szCs w:val="44"/>
    </w:rPr>
  </w:style>
  <w:style w:type="character" w:customStyle="1" w:styleId="3Char">
    <w:name w:val="标题 3 Char"/>
    <w:basedOn w:val="a0"/>
    <w:link w:val="3"/>
    <w:uiPriority w:val="9"/>
    <w:qFormat/>
    <w:rsid w:val="00B76A0A"/>
    <w:rPr>
      <w:rFonts w:ascii="Calibri" w:eastAsia="楷体" w:hAnsi="Calibri" w:cs="Calibri"/>
      <w:bCs/>
      <w:sz w:val="32"/>
      <w:szCs w:val="32"/>
    </w:rPr>
  </w:style>
  <w:style w:type="paragraph" w:styleId="a3">
    <w:name w:val="header"/>
    <w:basedOn w:val="a"/>
    <w:link w:val="Char"/>
    <w:uiPriority w:val="99"/>
    <w:unhideWhenUsed/>
    <w:rsid w:val="00D35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D76"/>
    <w:rPr>
      <w:rFonts w:ascii="Times New Roman" w:eastAsia="宋体" w:hAnsi="Times New Roman" w:cs="Times New Roman"/>
      <w:kern w:val="2"/>
      <w:sz w:val="18"/>
      <w:szCs w:val="18"/>
    </w:rPr>
  </w:style>
  <w:style w:type="paragraph" w:styleId="a4">
    <w:name w:val="footer"/>
    <w:basedOn w:val="a"/>
    <w:link w:val="Char0"/>
    <w:uiPriority w:val="99"/>
    <w:unhideWhenUsed/>
    <w:rsid w:val="00D35D76"/>
    <w:pPr>
      <w:tabs>
        <w:tab w:val="center" w:pos="4153"/>
        <w:tab w:val="right" w:pos="8306"/>
      </w:tabs>
      <w:snapToGrid w:val="0"/>
      <w:jc w:val="left"/>
    </w:pPr>
    <w:rPr>
      <w:sz w:val="18"/>
      <w:szCs w:val="18"/>
    </w:rPr>
  </w:style>
  <w:style w:type="character" w:customStyle="1" w:styleId="Char0">
    <w:name w:val="页脚 Char"/>
    <w:basedOn w:val="a0"/>
    <w:link w:val="a4"/>
    <w:uiPriority w:val="99"/>
    <w:rsid w:val="00D35D7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0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B76A0A"/>
    <w:pPr>
      <w:keepNext/>
      <w:keepLines/>
      <w:spacing w:before="340" w:after="330" w:line="560" w:lineRule="exact"/>
      <w:jc w:val="center"/>
      <w:outlineLvl w:val="0"/>
    </w:pPr>
    <w:rPr>
      <w:rFonts w:ascii="Calibri" w:eastAsia="方正小标宋_GBK" w:hAnsi="Calibri" w:cs="Calibri"/>
      <w:bCs/>
      <w:kern w:val="44"/>
      <w:sz w:val="44"/>
      <w:szCs w:val="44"/>
    </w:rPr>
  </w:style>
  <w:style w:type="paragraph" w:styleId="3">
    <w:name w:val="heading 3"/>
    <w:basedOn w:val="a"/>
    <w:next w:val="a"/>
    <w:link w:val="3Char"/>
    <w:uiPriority w:val="9"/>
    <w:unhideWhenUsed/>
    <w:qFormat/>
    <w:rsid w:val="00B76A0A"/>
    <w:pPr>
      <w:keepNext/>
      <w:keepLines/>
      <w:spacing w:before="260" w:after="260" w:line="560" w:lineRule="exact"/>
      <w:ind w:firstLineChars="200" w:firstLine="200"/>
      <w:outlineLvl w:val="2"/>
    </w:pPr>
    <w:rPr>
      <w:rFonts w:ascii="Calibri" w:eastAsia="楷体" w:hAnsi="Calibri" w:cs="Calibr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6A0A"/>
    <w:rPr>
      <w:rFonts w:ascii="Calibri" w:eastAsia="方正小标宋_GBK" w:hAnsi="Calibri" w:cs="Calibri"/>
      <w:bCs/>
      <w:kern w:val="44"/>
      <w:sz w:val="44"/>
      <w:szCs w:val="44"/>
    </w:rPr>
  </w:style>
  <w:style w:type="character" w:customStyle="1" w:styleId="3Char">
    <w:name w:val="标题 3 Char"/>
    <w:basedOn w:val="a0"/>
    <w:link w:val="3"/>
    <w:uiPriority w:val="9"/>
    <w:qFormat/>
    <w:rsid w:val="00B76A0A"/>
    <w:rPr>
      <w:rFonts w:ascii="Calibri" w:eastAsia="楷体" w:hAnsi="Calibri" w:cs="Calibri"/>
      <w:bCs/>
      <w:sz w:val="32"/>
      <w:szCs w:val="32"/>
    </w:rPr>
  </w:style>
  <w:style w:type="paragraph" w:styleId="a3">
    <w:name w:val="header"/>
    <w:basedOn w:val="a"/>
    <w:link w:val="Char"/>
    <w:uiPriority w:val="99"/>
    <w:unhideWhenUsed/>
    <w:rsid w:val="00D35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D76"/>
    <w:rPr>
      <w:rFonts w:ascii="Times New Roman" w:eastAsia="宋体" w:hAnsi="Times New Roman" w:cs="Times New Roman"/>
      <w:kern w:val="2"/>
      <w:sz w:val="18"/>
      <w:szCs w:val="18"/>
    </w:rPr>
  </w:style>
  <w:style w:type="paragraph" w:styleId="a4">
    <w:name w:val="footer"/>
    <w:basedOn w:val="a"/>
    <w:link w:val="Char0"/>
    <w:uiPriority w:val="99"/>
    <w:unhideWhenUsed/>
    <w:rsid w:val="00D35D76"/>
    <w:pPr>
      <w:tabs>
        <w:tab w:val="center" w:pos="4153"/>
        <w:tab w:val="right" w:pos="8306"/>
      </w:tabs>
      <w:snapToGrid w:val="0"/>
      <w:jc w:val="left"/>
    </w:pPr>
    <w:rPr>
      <w:sz w:val="18"/>
      <w:szCs w:val="18"/>
    </w:rPr>
  </w:style>
  <w:style w:type="character" w:customStyle="1" w:styleId="Char0">
    <w:name w:val="页脚 Char"/>
    <w:basedOn w:val="a0"/>
    <w:link w:val="a4"/>
    <w:uiPriority w:val="99"/>
    <w:rsid w:val="00D35D7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4814</Characters>
  <Application>Microsoft Office Word</Application>
  <DocSecurity>0</DocSecurity>
  <Lines>40</Lines>
  <Paragraphs>11</Paragraphs>
  <ScaleCrop>false</ScaleCrop>
  <Company>china</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2021-03-30T01:46:00Z</dcterms:created>
  <dcterms:modified xsi:type="dcterms:W3CDTF">2021-03-30T01:46:00Z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931428850_cloud</vt:lpwstr>
  </property>
  <property fmtid="{D5CDD505-2E9C-101B-9397-08002B2CF9AE}" pid="3" name="KSOProductBuildVer">
    <vt:lpwstr>2052-11.1.0.10314</vt:lpwstr>
  </property>
</Properties>
</file>