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jc w:val="center"/>
        <w:rPr>
          <w:rStyle w:val="6"/>
          <w:rFonts w:ascii="Times New Roman" w:hAnsi="Times New Roman" w:eastAsia="方正小标宋简体"/>
          <w:color w:val="000000"/>
          <w:kern w:val="21"/>
          <w:sz w:val="44"/>
          <w:szCs w:val="44"/>
        </w:rPr>
      </w:pPr>
      <w:r>
        <w:rPr>
          <w:rStyle w:val="6"/>
          <w:rFonts w:ascii="Times New Roman" w:hAnsi="Times New Roman" w:eastAsia="方正小标宋简体"/>
          <w:color w:val="000000"/>
          <w:kern w:val="21"/>
          <w:sz w:val="44"/>
          <w:szCs w:val="44"/>
        </w:rPr>
        <w:t>南县全民健身服务中心2020年预算说明</w:t>
      </w:r>
    </w:p>
    <w:p>
      <w:pPr>
        <w:topLinePunct/>
        <w:spacing w:line="580" w:lineRule="exact"/>
        <w:ind w:firstLine="620" w:firstLineChars="200"/>
        <w:jc w:val="center"/>
        <w:rPr>
          <w:rStyle w:val="6"/>
          <w:rFonts w:ascii="Times New Roman" w:hAnsi="Times New Roman" w:eastAsia="黑体"/>
          <w:color w:val="000000"/>
          <w:kern w:val="21"/>
          <w:sz w:val="31"/>
          <w:szCs w:val="31"/>
        </w:rPr>
      </w:pPr>
    </w:p>
    <w:p>
      <w:pPr>
        <w:topLinePunct/>
        <w:spacing w:after="305" w:line="580" w:lineRule="exact"/>
        <w:ind w:firstLine="620" w:firstLineChars="200"/>
        <w:jc w:val="center"/>
        <w:rPr>
          <w:rStyle w:val="6"/>
          <w:rFonts w:ascii="Times New Roman" w:hAnsi="Times New Roman" w:eastAsia="方正小标宋简体"/>
          <w:kern w:val="21"/>
        </w:rPr>
      </w:pPr>
      <w:r>
        <w:rPr>
          <w:rStyle w:val="6"/>
          <w:rFonts w:ascii="Times New Roman" w:hAnsi="Times New Roman" w:eastAsia="方正小标宋简体"/>
          <w:color w:val="000000"/>
          <w:kern w:val="21"/>
          <w:sz w:val="31"/>
          <w:szCs w:val="31"/>
        </w:rPr>
        <w:t>第一部分</w:t>
      </w:r>
      <w:r>
        <w:rPr>
          <w:rStyle w:val="6"/>
          <w:rFonts w:hint="eastAsia" w:ascii="Times New Roman" w:hAnsi="Times New Roman" w:eastAsia="方正小标宋简体"/>
          <w:color w:val="000000"/>
          <w:kern w:val="21"/>
          <w:sz w:val="31"/>
          <w:szCs w:val="31"/>
          <w:lang w:val="en-US" w:eastAsia="zh-CN"/>
        </w:rPr>
        <w:t xml:space="preserve"> </w:t>
      </w:r>
      <w:r>
        <w:rPr>
          <w:rStyle w:val="6"/>
          <w:rFonts w:ascii="Times New Roman" w:hAnsi="Times New Roman" w:eastAsia="方正小标宋简体"/>
          <w:color w:val="000000"/>
          <w:kern w:val="21"/>
          <w:sz w:val="31"/>
          <w:szCs w:val="31"/>
        </w:rPr>
        <w:t>部门概况</w:t>
      </w:r>
    </w:p>
    <w:p>
      <w:pPr>
        <w:topLinePunct/>
        <w:spacing w:line="580" w:lineRule="exact"/>
        <w:ind w:firstLine="620" w:firstLineChars="200"/>
        <w:rPr>
          <w:rStyle w:val="6"/>
          <w:rFonts w:ascii="仿宋_GB2312" w:hAnsi="Times New Roman" w:eastAsia="仿宋_GB2312"/>
          <w:color w:val="000000"/>
          <w:kern w:val="21"/>
          <w:sz w:val="31"/>
          <w:szCs w:val="31"/>
        </w:rPr>
      </w:pPr>
      <w:r>
        <w:rPr>
          <w:rStyle w:val="6"/>
          <w:rFonts w:hint="eastAsia" w:ascii="仿宋_GB2312" w:hAnsi="Times New Roman" w:eastAsia="仿宋_GB2312"/>
          <w:color w:val="000000"/>
          <w:kern w:val="21"/>
          <w:sz w:val="31"/>
          <w:szCs w:val="31"/>
        </w:rPr>
        <w:t>一、部门职能</w:t>
      </w:r>
    </w:p>
    <w:p>
      <w:pPr>
        <w:pStyle w:val="8"/>
        <w:spacing w:before="0" w:beforeAutospacing="0" w:after="0" w:afterAutospacing="0" w:line="560" w:lineRule="exact"/>
        <w:ind w:firstLine="630"/>
        <w:jc w:val="both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color w:val="333333"/>
          <w:sz w:val="32"/>
          <w:szCs w:val="32"/>
        </w:rPr>
        <w:t>南县全民健身服务中心成立于2016年2月，</w:t>
      </w:r>
      <w:r>
        <w:rPr>
          <w:rStyle w:val="6"/>
          <w:rFonts w:hint="eastAsia" w:ascii="仿宋_GB2312" w:hAnsi="仿宋" w:eastAsia="仿宋_GB2312"/>
          <w:sz w:val="32"/>
          <w:szCs w:val="32"/>
        </w:rPr>
        <w:t>为县文旅广体局所</w:t>
      </w:r>
      <w:r>
        <w:rPr>
          <w:rStyle w:val="6"/>
          <w:rFonts w:hint="eastAsia" w:ascii="仿宋_GB2312" w:hAnsi="仿宋" w:eastAsia="仿宋_GB2312"/>
          <w:color w:val="333333"/>
          <w:sz w:val="32"/>
          <w:szCs w:val="32"/>
        </w:rPr>
        <w:t>属副科级公益一类事业单位。2020年由文体广旅局所属的二级预算单位新纳入财政一级预算单位。主要职责是：负责指导全民健身运动项目的开展、普及和提高；负责培训、推广和开发体育健身项目；配合做好重大体育活动的组织实施工作；协助做好体育项目裁判员、教练员及运动员的培训工作。目前全民健身服务中心拥有可容纳3800人丙级体育馆一个，乒羽馆一个，</w:t>
      </w:r>
      <w:r>
        <w:rPr>
          <w:rStyle w:val="6"/>
          <w:rFonts w:hint="eastAsia" w:ascii="仿宋_GB2312" w:hAnsi="仿宋" w:eastAsia="仿宋_GB2312"/>
          <w:sz w:val="32"/>
          <w:szCs w:val="32"/>
        </w:rPr>
        <w:t>注册体育协会17个及多个体育健身俱乐部及健身站点。</w:t>
      </w:r>
    </w:p>
    <w:p>
      <w:pPr>
        <w:topLinePunct/>
        <w:spacing w:line="560" w:lineRule="exact"/>
        <w:ind w:firstLine="640" w:firstLineChars="200"/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  <w:t>二、人员和编制情况</w:t>
      </w:r>
    </w:p>
    <w:p>
      <w:pPr>
        <w:topLinePunct/>
        <w:spacing w:line="560" w:lineRule="exact"/>
        <w:ind w:firstLine="640" w:firstLineChars="200"/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  <w:t>按照县政府对部门三定方案要求：核定全额拨款事业编制8人。中心现有在职人员5人，离退休人员3人。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baseline"/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  <w:lang w:val="en-US" w:eastAsia="zh-CN"/>
        </w:rPr>
        <w:t>机构设置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baseline"/>
        <w:rPr>
          <w:rStyle w:val="6"/>
          <w:rFonts w:hint="default" w:ascii="仿宋_GB2312" w:hAnsi="Times New Roman" w:eastAsia="仿宋_GB2312"/>
          <w:color w:val="000000"/>
          <w:kern w:val="21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  <w:lang w:val="en-US" w:eastAsia="zh-CN"/>
        </w:rPr>
        <w:t>内设主任室、副主任室、办公室和业务室。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  <w:t>部门单位预算构成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baseline"/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  <w:t>纳入2020年部门预算编制范围的只有南县全民健身服务中心本级。</w:t>
      </w:r>
    </w:p>
    <w:p>
      <w:pPr>
        <w:numPr>
          <w:ilvl w:val="0"/>
          <w:numId w:val="0"/>
        </w:numPr>
        <w:topLinePunct/>
        <w:spacing w:line="560" w:lineRule="exact"/>
        <w:rPr>
          <w:rStyle w:val="6"/>
          <w:rFonts w:hint="eastAsia" w:ascii="仿宋_GB2312" w:hAnsi="Times New Roman" w:eastAsia="仿宋_GB2312"/>
          <w:color w:val="000000"/>
          <w:kern w:val="21"/>
          <w:sz w:val="32"/>
          <w:szCs w:val="32"/>
        </w:rPr>
      </w:pPr>
    </w:p>
    <w:p>
      <w:pPr>
        <w:topLinePunct/>
        <w:spacing w:line="560" w:lineRule="exact"/>
        <w:ind w:left="2125" w:leftChars="200" w:hanging="1705" w:hangingChars="550"/>
        <w:jc w:val="center"/>
        <w:rPr>
          <w:rStyle w:val="6"/>
          <w:rFonts w:hint="default" w:ascii="仿宋_GB2312" w:hAnsi="Times New Roman" w:eastAsia="方正小标宋简体"/>
          <w:color w:val="000000"/>
          <w:kern w:val="21"/>
          <w:sz w:val="32"/>
          <w:szCs w:val="32"/>
          <w:lang w:val="en-US" w:eastAsia="zh-CN"/>
        </w:rPr>
      </w:pPr>
      <w:r>
        <w:rPr>
          <w:rStyle w:val="6"/>
          <w:rFonts w:ascii="Times New Roman" w:hAnsi="Times New Roman" w:eastAsia="方正小标宋简体"/>
          <w:color w:val="000000"/>
          <w:kern w:val="21"/>
          <w:sz w:val="31"/>
          <w:szCs w:val="31"/>
        </w:rPr>
        <w:t>第二部分</w:t>
      </w:r>
      <w:r>
        <w:rPr>
          <w:rStyle w:val="6"/>
          <w:rFonts w:hint="eastAsia" w:ascii="Times New Roman" w:hAnsi="Times New Roman" w:eastAsia="方正小标宋简体"/>
          <w:color w:val="000000"/>
          <w:kern w:val="21"/>
          <w:sz w:val="31"/>
          <w:szCs w:val="31"/>
          <w:lang w:val="en-US" w:eastAsia="zh-CN"/>
        </w:rPr>
        <w:t xml:space="preserve"> </w:t>
      </w:r>
      <w:r>
        <w:rPr>
          <w:rStyle w:val="6"/>
          <w:rFonts w:ascii="Times New Roman" w:hAnsi="Times New Roman" w:eastAsia="方正小标宋简体"/>
          <w:color w:val="000000"/>
          <w:kern w:val="21"/>
          <w:sz w:val="31"/>
          <w:szCs w:val="31"/>
        </w:rPr>
        <w:t>2020年部门预算</w:t>
      </w:r>
      <w:r>
        <w:rPr>
          <w:rStyle w:val="6"/>
          <w:rFonts w:hint="eastAsia" w:ascii="Times New Roman" w:hAnsi="Times New Roman" w:eastAsia="方正小标宋简体"/>
          <w:color w:val="000000"/>
          <w:kern w:val="21"/>
          <w:sz w:val="31"/>
          <w:szCs w:val="31"/>
          <w:lang w:val="en-US" w:eastAsia="zh-CN"/>
        </w:rPr>
        <w:t>情况说明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黑体"/>
          <w:color w:val="000000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黑体"/>
          <w:color w:val="000000"/>
          <w:kern w:val="21"/>
          <w:sz w:val="31"/>
          <w:szCs w:val="31"/>
        </w:rPr>
        <w:t>一、《财政拨款收支总表》说明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楷体_GB2312"/>
          <w:b/>
          <w:bCs/>
          <w:color w:val="000000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楷体_GB2312"/>
          <w:b/>
          <w:bCs/>
          <w:color w:val="000000"/>
          <w:kern w:val="21"/>
          <w:sz w:val="31"/>
          <w:szCs w:val="31"/>
        </w:rPr>
        <w:t>（一）收入预算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一般公共预算拨款收入2020年预算数97.6万元。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因本单位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新增单位，所以无法与去年数据形成对比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情况。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楷体_GB2312"/>
          <w:b/>
          <w:bCs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楷体_GB2312"/>
          <w:b/>
          <w:bCs/>
          <w:kern w:val="21"/>
          <w:sz w:val="31"/>
          <w:szCs w:val="31"/>
        </w:rPr>
        <w:t>（二）支出预算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一般公共服务支出（类级科目）2020年预算数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65.78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社会保障和就业支出（类级科目）2020年预算数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25.41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卫生健康支出（类级科目）2020年预算数2.87万元。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住房保障支出（类级科目）2020年预算数3.54万元。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黑体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黑体"/>
          <w:kern w:val="21"/>
          <w:sz w:val="31"/>
          <w:szCs w:val="31"/>
        </w:rPr>
        <w:t>二、《一般公共预算支出表》说明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仿宋_GB2312"/>
          <w:kern w:val="21"/>
          <w:lang w:eastAsia="zh-CN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一般公共预算支出2020年预算数97.6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万元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，其中：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1、一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文化旅游体育与传媒支出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（类级科目）2020年预算数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65.78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万元，主要反映单位人员工资、津补贴以及部门专项经费支出。其中，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（1）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体育场馆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（项级科目）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4.72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（2）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群众体育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（项级科目）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61.06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2、社会保障和就业支出（类级科目）2020年预算数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25.41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万元，主要反映单位人员离退休人员经费支出和在职人员社保缴费支出。其中，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（1）归口管理的行政单位离退休（项级科目）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16.95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（2）机关事业单位基本养老保险缴费支出（项级科目）4.98万元。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（3）机关事业单位职业年金缴费（项级科目）支出2.49万元。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（4）其他社会保障和就业支出（项级科目）0.99万元。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3、卫生健康支出（类级科目）2020年预算数2.87万元，主要反映单位在职人员医疗保险缴费支出。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行政单位医疗（项级科目）2.87万元。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4、住房保障支出（类级科目）2020年预算数3.54万元，主要反映单位在职人员住房公积金支出。其中，住房公积金（项级科目）3.54万元。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黑体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黑体"/>
          <w:kern w:val="21"/>
          <w:sz w:val="31"/>
          <w:szCs w:val="31"/>
        </w:rPr>
        <w:t>三、《一般公共预算基本支出表》说明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基本支出：指为保障单位正常运转、完成日常工作任务而发生的各项支出，包括用于基本工资、津贴补贴等人员经费以及办公费、印刷费、水电费、办公设备购置等日常公用经费。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财政拨款基本支出2020年预算数66.88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万元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。其中：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1.工资福利支出47.17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万元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，主要包括基本工资18.5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万元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，绩效工资12.6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万元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、机关事业单位基本养老保险缴费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4.98万元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、职业年金缴费2.49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万元、职工基本养老保险缴费2.87万元、其他社会保障缴费0.99万元、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住房公积金3.54万元、其他工资福利支出1.2万元。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2.商品和服务支出2.77，主要包括办公费0.11万元、公务接待费1万元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、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工会经费0.62万元、福利费0.37万元、其他商品和服务支出0.67万元等。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3.对个人和家庭的补助16.94万元，主要包括退休费16.65万元、其他对个人和家庭的补助支出0.29万元。</w:t>
      </w:r>
    </w:p>
    <w:p>
      <w:pPr>
        <w:topLinePunct/>
        <w:spacing w:line="580" w:lineRule="exact"/>
        <w:ind w:firstLine="620" w:firstLineChars="200"/>
        <w:rPr>
          <w:rStyle w:val="6"/>
          <w:rFonts w:ascii="黑体" w:hAnsi="黑体" w:eastAsia="黑体"/>
          <w:kern w:val="21"/>
          <w:sz w:val="31"/>
          <w:szCs w:val="31"/>
        </w:rPr>
      </w:pPr>
      <w:r>
        <w:rPr>
          <w:rStyle w:val="6"/>
          <w:rFonts w:ascii="黑体" w:hAnsi="黑体" w:eastAsia="黑体"/>
          <w:kern w:val="21"/>
          <w:sz w:val="31"/>
          <w:szCs w:val="31"/>
        </w:rPr>
        <w:t>四、《部门“三公”经费预算表》说明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“三公”经费2020年预算数1万元，其中，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因公出国（境）费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公务用车购置费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公务用车运行费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万元、公务接待费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万元。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因本单位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新增单位，所以无法与去年数据形成对比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情况。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黑体" w:hAnsi="黑体" w:eastAsia="黑体"/>
          <w:kern w:val="21"/>
          <w:sz w:val="31"/>
          <w:szCs w:val="31"/>
          <w:lang w:eastAsia="zh-CN"/>
        </w:rPr>
      </w:pPr>
      <w:r>
        <w:rPr>
          <w:rStyle w:val="6"/>
          <w:rFonts w:ascii="黑体" w:hAnsi="黑体" w:eastAsia="黑体"/>
          <w:kern w:val="21"/>
          <w:sz w:val="31"/>
          <w:szCs w:val="31"/>
        </w:rPr>
        <w:t>五、《部门预算收支总表》说明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楷体_GB2312"/>
          <w:kern w:val="21"/>
          <w:lang w:eastAsia="zh-CN"/>
        </w:rPr>
      </w:pPr>
      <w:r>
        <w:rPr>
          <w:rStyle w:val="6"/>
          <w:rFonts w:ascii="楷体_GB2312" w:hAnsi="楷体_GB2312" w:eastAsia="楷体_GB2312"/>
          <w:kern w:val="21"/>
          <w:sz w:val="31"/>
          <w:szCs w:val="31"/>
        </w:rPr>
        <w:t>（一）收入预算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20" w:firstLineChars="200"/>
        <w:textAlignment w:val="baseline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1.一般公共预算拨款收入：2020年预算数97.6万元。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20" w:firstLineChars="200"/>
        <w:textAlignment w:val="baseline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val="en-US" w:eastAsia="zh-CN"/>
        </w:rPr>
        <w:t>2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.本部门无政府性基金收入。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楷体_GB2312" w:hAnsi="楷体_GB2312" w:eastAsia="楷体_GB2312"/>
          <w:kern w:val="21"/>
          <w:lang w:eastAsia="zh-CN"/>
        </w:rPr>
      </w:pPr>
      <w:r>
        <w:rPr>
          <w:rStyle w:val="6"/>
          <w:rFonts w:ascii="楷体_GB2312" w:hAnsi="楷体_GB2312" w:eastAsia="楷体_GB2312"/>
          <w:kern w:val="21"/>
          <w:sz w:val="31"/>
          <w:szCs w:val="31"/>
        </w:rPr>
        <w:t>（二）支出预算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文化旅游体育与传媒支出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（类级科目）2020年预算数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65.78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万元，主要是单位人员经费支出。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社会保障和就业支出（类级科目）2020年预算数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25.41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万元，主要是单位在职人员社保缴费支出和离退休人员经费支出。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卫生健康支出（类级科目）2020年预算数2.87万元，主要是单位人员医疗保障缴费支出。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楷体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住房保障支出（类级科目）2020年预算数3.54万元，主要是单位在职人员住房公积金支出。</w:t>
      </w:r>
    </w:p>
    <w:p>
      <w:pPr>
        <w:topLinePunct/>
        <w:spacing w:line="580" w:lineRule="exact"/>
        <w:ind w:left="420" w:leftChars="200" w:firstLine="310" w:firstLineChars="100"/>
        <w:rPr>
          <w:rStyle w:val="6"/>
          <w:rFonts w:hint="eastAsia" w:ascii="黑体" w:hAnsi="黑体" w:eastAsia="黑体"/>
          <w:kern w:val="21"/>
          <w:sz w:val="31"/>
          <w:szCs w:val="31"/>
          <w:lang w:eastAsia="zh-CN"/>
        </w:rPr>
      </w:pPr>
      <w:r>
        <w:rPr>
          <w:rStyle w:val="6"/>
          <w:rFonts w:ascii="黑体" w:hAnsi="黑体" w:eastAsia="黑体"/>
          <w:kern w:val="21"/>
          <w:sz w:val="31"/>
          <w:szCs w:val="31"/>
        </w:rPr>
        <w:t>六、《部门一般公共预算收入预算总表》说明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仿宋_GB2312"/>
          <w:kern w:val="21"/>
          <w:lang w:eastAsia="zh-CN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一般公共预算财政拨款收入：2020年预算数97.6万元，占总收入的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val="en-US" w:eastAsia="zh-CN"/>
        </w:rPr>
        <w:t>100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%。</w:t>
      </w:r>
    </w:p>
    <w:p>
      <w:pPr>
        <w:topLinePunct/>
        <w:spacing w:line="580" w:lineRule="exact"/>
        <w:ind w:left="420" w:leftChars="200" w:firstLine="310" w:firstLineChars="100"/>
        <w:rPr>
          <w:rStyle w:val="6"/>
          <w:rFonts w:hint="eastAsia" w:ascii="黑体" w:hAnsi="黑体" w:eastAsia="黑体"/>
          <w:kern w:val="21"/>
          <w:sz w:val="31"/>
          <w:szCs w:val="31"/>
          <w:lang w:eastAsia="zh-CN"/>
        </w:rPr>
      </w:pPr>
      <w:r>
        <w:rPr>
          <w:rStyle w:val="6"/>
          <w:rFonts w:ascii="黑体" w:hAnsi="黑体" w:eastAsia="黑体"/>
          <w:kern w:val="21"/>
          <w:sz w:val="31"/>
          <w:szCs w:val="31"/>
        </w:rPr>
        <w:t>七、《部门一般公共预算支出预算总表》说明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（一）基本支出：2020年预算数66.88万元，主要是一般公共服务支出66.88万元，主要用于机关本级的基本支出。</w:t>
      </w:r>
    </w:p>
    <w:p>
      <w:pPr>
        <w:topLinePunct/>
        <w:spacing w:line="580" w:lineRule="exact"/>
        <w:ind w:firstLine="62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（二）项目支出：2020年预算数30.72万元，主要是:群体活动14万元，体育协会12万元。税金支出4.72万元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eastAsia" w:ascii="Times New Roman" w:hAnsi="Times New Roman" w:eastAsia="黑体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《部门政府性基金预算支出情况表》说明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1"/>
          <w:szCs w:val="31"/>
          <w:lang w:val="en-US" w:eastAsia="zh-CN" w:bidi="ar"/>
        </w:rPr>
        <w:t>本单位无政府性基金预算支出安排情况。</w:t>
      </w:r>
    </w:p>
    <w:p>
      <w:pPr>
        <w:topLinePunct/>
        <w:spacing w:line="580" w:lineRule="exact"/>
        <w:rPr>
          <w:rStyle w:val="6"/>
          <w:rFonts w:ascii="Times New Roman" w:hAnsi="Times New Roman" w:eastAsia="黑体"/>
          <w:kern w:val="21"/>
          <w:sz w:val="31"/>
          <w:szCs w:val="31"/>
        </w:rPr>
      </w:pPr>
    </w:p>
    <w:p>
      <w:pPr>
        <w:topLinePunct/>
        <w:spacing w:after="305" w:line="580" w:lineRule="exact"/>
        <w:jc w:val="center"/>
        <w:rPr>
          <w:rStyle w:val="6"/>
          <w:rFonts w:ascii="方正小标宋简体" w:hAnsi="方正小标宋简体" w:eastAsia="方正小标宋简体"/>
          <w:kern w:val="21"/>
          <w:sz w:val="31"/>
          <w:szCs w:val="31"/>
        </w:rPr>
      </w:pPr>
      <w:r>
        <w:rPr>
          <w:rStyle w:val="6"/>
          <w:rFonts w:ascii="方正小标宋简体" w:hAnsi="方正小标宋简体" w:eastAsia="方正小标宋简体"/>
          <w:kern w:val="21"/>
          <w:sz w:val="31"/>
          <w:szCs w:val="31"/>
        </w:rPr>
        <w:t>第三部分</w:t>
      </w:r>
      <w:r>
        <w:rPr>
          <w:rStyle w:val="6"/>
          <w:rFonts w:hint="eastAsia" w:ascii="方正小标宋简体" w:hAnsi="方正小标宋简体" w:eastAsia="方正小标宋简体"/>
          <w:kern w:val="21"/>
          <w:sz w:val="31"/>
          <w:szCs w:val="31"/>
          <w:lang w:val="en-US" w:eastAsia="zh-CN"/>
        </w:rPr>
        <w:t xml:space="preserve"> </w:t>
      </w:r>
      <w:r>
        <w:rPr>
          <w:rStyle w:val="6"/>
          <w:rFonts w:ascii="方正小标宋简体" w:hAnsi="方正小标宋简体" w:eastAsia="方正小标宋简体"/>
          <w:kern w:val="21"/>
          <w:sz w:val="31"/>
          <w:szCs w:val="31"/>
        </w:rPr>
        <w:t>其他有关情况说明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1.机关运行经费安排使用情况说明。机关运行经费财政拨款2020年预算数2.77万元。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因本单位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新增单位，所以无法与去年数据形成对比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1"/>
          <w:szCs w:val="31"/>
          <w:lang w:val="en-US" w:eastAsia="zh-CN" w:bidi="ar"/>
        </w:rPr>
        <w:t>情况。</w:t>
      </w:r>
    </w:p>
    <w:p>
      <w:pPr>
        <w:topLinePunct/>
        <w:spacing w:line="580" w:lineRule="exact"/>
        <w:ind w:firstLine="620" w:firstLineChars="200"/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2.政府采购情况说明。2020年无政府采购预算数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3.国有资产占有使用情况说明。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ind w:firstLine="620" w:firstLineChars="200"/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eastAsia="zh-CN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南县全民健身服务中心共有国有资产641.77万元。一是房屋数量二栋，价值555.2万元；二是办公设备及培训设备价值86.57万元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4.预算绩效情况说明。2020年实行部门预算绩效目标管理的一级项目</w:t>
      </w:r>
      <w:r>
        <w:rPr>
          <w:rStyle w:val="6"/>
          <w:rFonts w:hint="eastAsia" w:ascii="Times New Roman" w:hAnsi="Times New Roman" w:eastAsia="仿宋_GB2312"/>
          <w:kern w:val="21"/>
          <w:sz w:val="31"/>
          <w:szCs w:val="31"/>
        </w:rPr>
        <w:t>2</w:t>
      </w:r>
      <w:r>
        <w:rPr>
          <w:rStyle w:val="6"/>
          <w:rFonts w:ascii="Times New Roman" w:hAnsi="Times New Roman" w:eastAsia="仿宋_GB2312"/>
          <w:kern w:val="21"/>
          <w:sz w:val="31"/>
          <w:szCs w:val="31"/>
        </w:rPr>
        <w:t>个，涉及一般公共预算拨款26万元；部门已申报支出整体绩效目标。</w:t>
      </w:r>
    </w:p>
    <w:p>
      <w:pPr>
        <w:topLinePunct/>
        <w:spacing w:line="580" w:lineRule="exact"/>
        <w:ind w:firstLine="620" w:firstLineChars="200"/>
        <w:rPr>
          <w:rStyle w:val="6"/>
          <w:rFonts w:ascii="Times New Roman" w:hAnsi="Times New Roman" w:eastAsia="仿宋_GB2312"/>
          <w:kern w:val="21"/>
          <w:sz w:val="31"/>
          <w:szCs w:val="31"/>
        </w:rPr>
      </w:pPr>
    </w:p>
    <w:p>
      <w:pPr>
        <w:topLinePunct/>
        <w:spacing w:after="305" w:line="580" w:lineRule="exact"/>
        <w:ind w:firstLine="620" w:firstLineChars="200"/>
        <w:jc w:val="center"/>
        <w:rPr>
          <w:rStyle w:val="6"/>
          <w:rFonts w:ascii="方正小标宋简体" w:hAnsi="方正小标宋简体" w:eastAsia="方正小标宋简体"/>
          <w:kern w:val="21"/>
          <w:sz w:val="31"/>
          <w:szCs w:val="31"/>
        </w:rPr>
      </w:pPr>
      <w:r>
        <w:rPr>
          <w:rStyle w:val="6"/>
          <w:rFonts w:ascii="方正小标宋简体" w:hAnsi="方正小标宋简体" w:eastAsia="方正小标宋简体"/>
          <w:kern w:val="21"/>
          <w:sz w:val="31"/>
          <w:szCs w:val="31"/>
        </w:rPr>
        <w:t>第四部分</w:t>
      </w:r>
      <w:r>
        <w:rPr>
          <w:rStyle w:val="6"/>
          <w:rFonts w:hint="eastAsia" w:ascii="方正小标宋简体" w:hAnsi="方正小标宋简体" w:eastAsia="方正小标宋简体"/>
          <w:kern w:val="21"/>
          <w:sz w:val="31"/>
          <w:szCs w:val="31"/>
          <w:lang w:val="en-US" w:eastAsia="zh-CN"/>
        </w:rPr>
        <w:t xml:space="preserve"> </w:t>
      </w:r>
      <w:r>
        <w:rPr>
          <w:rStyle w:val="6"/>
          <w:rFonts w:ascii="方正小标宋简体" w:hAnsi="方正小标宋简体" w:eastAsia="方正小标宋简体"/>
          <w:kern w:val="21"/>
          <w:sz w:val="31"/>
          <w:szCs w:val="31"/>
        </w:rPr>
        <w:t>名词解释</w:t>
      </w:r>
    </w:p>
    <w:p>
      <w:pPr>
        <w:topLinePunct/>
        <w:spacing w:line="580" w:lineRule="exact"/>
        <w:ind w:firstLine="620" w:firstLineChars="200"/>
        <w:rPr>
          <w:rStyle w:val="6"/>
          <w:rFonts w:ascii="仿宋_GB2312" w:hAnsi="仿宋_GB2312" w:eastAsia="仿宋_GB2312"/>
          <w:kern w:val="21"/>
          <w:sz w:val="31"/>
          <w:szCs w:val="31"/>
        </w:rPr>
      </w:pPr>
      <w:r>
        <w:rPr>
          <w:rStyle w:val="6"/>
          <w:rFonts w:ascii="仿宋_GB2312" w:hAnsi="仿宋_GB2312" w:eastAsia="仿宋_GB2312"/>
          <w:kern w:val="21"/>
          <w:sz w:val="31"/>
          <w:szCs w:val="31"/>
        </w:rPr>
        <w:t>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topLinePunct/>
        <w:spacing w:line="580" w:lineRule="exact"/>
        <w:ind w:firstLine="620" w:firstLineChars="200"/>
        <w:rPr>
          <w:rStyle w:val="6"/>
          <w:rFonts w:ascii="仿宋_GB2312" w:hAnsi="仿宋_GB2312" w:eastAsia="仿宋_GB2312"/>
          <w:kern w:val="21"/>
          <w:sz w:val="31"/>
          <w:szCs w:val="31"/>
        </w:rPr>
      </w:pPr>
      <w:r>
        <w:rPr>
          <w:rStyle w:val="6"/>
          <w:rFonts w:ascii="仿宋_GB2312" w:hAnsi="仿宋_GB2312" w:eastAsia="仿宋_GB2312"/>
          <w:kern w:val="21"/>
          <w:sz w:val="31"/>
          <w:szCs w:val="31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仿宋"/>
          <w:kern w:val="21"/>
          <w:sz w:val="31"/>
          <w:szCs w:val="31"/>
        </w:rPr>
        <w:br w:type="page"/>
      </w: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附件：部门预算公开表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1、部门预算收支总表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2、部门一般公共预算收入预算总表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3、部门一般公共预算支出预算总表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4、部门一般公共预算支出预算明细表（按部门预算科目）—工资和福利支出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5、部门一般公共预算支出预算明细表（按部门预算科目）—一般商品和服务支出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6、部门一般公共预算支出预算明细表（按部门预算科目）—对个人和家庭补助支出与项目支出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7、部门一般公共预算项目支出预算表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8、部门“三公”经费预算表</w:t>
      </w:r>
    </w:p>
    <w:p>
      <w:pPr>
        <w:topLinePunct/>
        <w:spacing w:line="580" w:lineRule="exact"/>
        <w:rPr>
          <w:rStyle w:val="6"/>
          <w:rFonts w:ascii="Times New Roman" w:hAnsi="Times New Roman" w:eastAsia="微软雅黑"/>
          <w:color w:val="000000"/>
          <w:kern w:val="21"/>
          <w:sz w:val="24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9、部门财政拨款收支总表</w:t>
      </w:r>
    </w:p>
    <w:p>
      <w:pPr>
        <w:topLinePunct/>
        <w:spacing w:line="580" w:lineRule="exact"/>
        <w:rPr>
          <w:rStyle w:val="6"/>
          <w:rFonts w:ascii="Times New Roman" w:hAnsi="Times New Roman" w:eastAsia="微软雅黑"/>
          <w:color w:val="000000"/>
          <w:kern w:val="21"/>
          <w:sz w:val="24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10、一般公共预算支出情况表</w:t>
      </w:r>
    </w:p>
    <w:p>
      <w:pPr>
        <w:topLinePunct/>
        <w:spacing w:line="580" w:lineRule="exact"/>
        <w:rPr>
          <w:rStyle w:val="6"/>
          <w:rFonts w:ascii="Times New Roman" w:hAnsi="Times New Roman" w:eastAsia="微软雅黑"/>
          <w:color w:val="000000"/>
          <w:kern w:val="21"/>
          <w:sz w:val="24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11、一般公共预算基本支出情况表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12、部门政府性基金预算支出情况表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13、部门政府采购预算表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14、部门整体支出绩效目标申报表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15、部门项目支出绩效目标申报表</w:t>
      </w:r>
    </w:p>
    <w:p>
      <w:pPr>
        <w:topLinePunct/>
        <w:spacing w:line="580" w:lineRule="exact"/>
        <w:rPr>
          <w:rStyle w:val="6"/>
          <w:rFonts w:ascii="Times New Roman" w:hAnsi="Times New Roman"/>
          <w:kern w:val="21"/>
        </w:rPr>
      </w:pPr>
      <w:r>
        <w:rPr>
          <w:rStyle w:val="6"/>
          <w:rFonts w:ascii="Times New Roman" w:hAnsi="Times New Roman" w:eastAsia="微软雅黑"/>
          <w:color w:val="000000"/>
          <w:kern w:val="21"/>
          <w:sz w:val="24"/>
        </w:rPr>
        <w:t>16、重点项目支出绩效目标申报表（属县本级预算表格，本表为空表）</w:t>
      </w:r>
    </w:p>
    <w:p>
      <w:pPr>
        <w:topLinePunct/>
        <w:spacing w:line="580" w:lineRule="exact"/>
        <w:rPr>
          <w:rStyle w:val="6"/>
          <w:rFonts w:ascii="Times New Roman" w:hAnsi="Times New Roman" w:eastAsia="黑体"/>
          <w:color w:val="000000"/>
          <w:kern w:val="21"/>
          <w:sz w:val="31"/>
          <w:szCs w:val="31"/>
        </w:rPr>
      </w:pPr>
    </w:p>
    <w:sectPr>
      <w:footerReference r:id="rId3" w:type="default"/>
      <w:pgSz w:w="11906" w:h="16838"/>
      <w:pgMar w:top="1701" w:right="1531" w:bottom="1701" w:left="1531" w:header="851" w:footer="850" w:gutter="0"/>
      <w:cols w:space="720" w:num="1"/>
      <w:docGrid w:type="linesAndChars" w:linePitch="61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Style w:val="6"/>
      </w:rPr>
    </w:pPr>
    <w:r>
      <w:rPr>
        <w:rStyle w:val="6"/>
      </w:rPr>
      <w:pict>
        <v:shape id="_x0000_s1025" o:spid="_x0000_s1025" o:spt="202" type="#_x0000_t202" style="position:absolute;left:0pt;margin-top:0pt;height:19.25pt;width:14.25pt;mso-position-horizontal:center;mso-position-horizontal-relative:margin;z-index:524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A2AC"/>
    <w:multiLevelType w:val="singleLevel"/>
    <w:tmpl w:val="0537A2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9C2D91"/>
    <w:multiLevelType w:val="singleLevel"/>
    <w:tmpl w:val="789C2D9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A2E14"/>
    <w:rsid w:val="00153E15"/>
    <w:rsid w:val="002F78A8"/>
    <w:rsid w:val="00360B20"/>
    <w:rsid w:val="0048627E"/>
    <w:rsid w:val="004C68E5"/>
    <w:rsid w:val="00847E41"/>
    <w:rsid w:val="00A71769"/>
    <w:rsid w:val="00C86DC4"/>
    <w:rsid w:val="00CA2E14"/>
    <w:rsid w:val="00D00B2C"/>
    <w:rsid w:val="00FB2C92"/>
    <w:rsid w:val="02832ED3"/>
    <w:rsid w:val="12DE6251"/>
    <w:rsid w:val="170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页眉 Char"/>
    <w:basedOn w:val="5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466</Words>
  <Characters>2658</Characters>
  <Lines>22</Lines>
  <Paragraphs>6</Paragraphs>
  <TotalTime>4</TotalTime>
  <ScaleCrop>false</ScaleCrop>
  <LinksUpToDate>false</LinksUpToDate>
  <CharactersWithSpaces>3118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2020-03-05T08:16:00Z</dcterms:created>
  <dc:creator>Lenovo</dc:creator>
  <cp:lastModifiedBy>易小僧</cp:lastModifiedBy>
  <cp:lastPrinted>2020-03-05T08:17:00Z</cp:lastPrinted>
  <dcterms:modified xsi:type="dcterms:W3CDTF">2021-01-04T08:04:41Z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