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ascii="方正小标宋_GBK" w:hAnsi="黑体" w:eastAsia="方正小标宋_GBK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项目名称：校车运营经费</w:t>
      </w:r>
    </w:p>
    <w:tbl>
      <w:tblPr>
        <w:tblStyle w:val="5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tblHeader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5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未量化目标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commentRangeStart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超范围开支</w:t>
            </w:r>
            <w:commentRange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14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无项目年度计划方案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commentRangeStart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根据年初设定的目标</w:t>
            </w:r>
            <w:commentRange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2"/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完成年度设定目标（5分），未完成酌情扣分。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根据单位自评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commentRangeStart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根据年初设定的目标</w:t>
            </w:r>
            <w:commentRange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3"/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合格率100%（4分），小于100%酌情扣分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根据单位自评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commentRangeStart w:id="4"/>
            <w:r>
              <w:rPr>
                <w:rFonts w:hint="eastAsia" w:ascii="宋体" w:hAnsi="宋体" w:eastAsia="宋体" w:cs="宋体"/>
                <w:sz w:val="21"/>
                <w:szCs w:val="21"/>
              </w:rPr>
              <w:t>2019年1月-2019年12月</w:t>
            </w:r>
            <w:commentRangeEnd w:id="4"/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4"/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年度内完成任务（3分），未完成任务酌情扣分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根据单位自评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commentRangeStart w:id="5"/>
            <w:r>
              <w:rPr>
                <w:rFonts w:hint="eastAsia" w:ascii="宋体" w:hAnsi="宋体" w:eastAsia="宋体" w:cs="宋体"/>
                <w:sz w:val="21"/>
                <w:szCs w:val="21"/>
              </w:rPr>
              <w:t>300万元</w:t>
            </w:r>
            <w:commentRangeEnd w:id="5"/>
            <w:r>
              <w:rPr>
                <w:rFonts w:hint="eastAsia" w:ascii="宋体" w:hAnsi="宋体" w:eastAsia="宋体" w:cs="宋体"/>
                <w:sz w:val="21"/>
                <w:szCs w:val="21"/>
              </w:rPr>
              <w:commentReference w:id="5"/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项目实施对经济发展所带来的直接或间接影响情况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项目成果，能促进经济的增长；很大（7分）、其它情形1-6分，无0分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根据单位自评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保障人民安居乐业、社会安定有序、国家长治久安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对照绩效目标，按社会效益实现程度计算得分（7分）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创造安全稳定的社会环境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对照绩效目标，按对环境所产生的实际影响程度计算得分（7分）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firstLine="963" w:firstLineChars="4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维护社会和谐稳定，巩固党的执政基础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项目实施后而受到影响的部门、群体或个人对该项目实施的满意程度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</w:t>
            </w:r>
          </w:p>
        </w:tc>
        <w:tc>
          <w:tcPr>
            <w:tcW w:w="198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default"/>
      <w:footerReference r:id="rId6" w:type="default"/>
      <w:pgSz w:w="16840" w:h="11907" w:orient="landscape"/>
      <w:pgMar w:top="1417" w:right="1417" w:bottom="1417" w:left="1417" w:header="851" w:footer="1304" w:gutter="0"/>
      <w:pgNumType w:fmt="decimal" w:start="8"/>
      <w:cols w:space="720" w:num="1"/>
      <w:docGrid w:type="linesAndChars" w:linePitch="604" w:charSpace="8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黄向军" w:date="2020-09-08T15:08:35Z" w:initials="">
    <w:p w14:paraId="249C6EC4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报告中无对应问题</w:t>
      </w:r>
    </w:p>
  </w:comment>
  <w:comment w:id="1" w:author="黄向军" w:date="2020-09-08T15:08:50Z" w:initials="">
    <w:p w14:paraId="697F1AD9">
      <w:pPr>
        <w:pStyle w:val="2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补充</w:t>
      </w:r>
    </w:p>
  </w:comment>
  <w:comment w:id="2" w:author="黄向军" w:date="2020-09-08T15:09:08Z" w:initials="">
    <w:p w14:paraId="36543F67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不是具体目标</w:t>
      </w:r>
    </w:p>
  </w:comment>
  <w:comment w:id="3" w:author="黄向军" w:date="2020-09-08T15:09:13Z" w:initials="">
    <w:p w14:paraId="25E96D15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不是具体目标</w:t>
      </w:r>
    </w:p>
  </w:comment>
  <w:comment w:id="4" w:author="黄向军" w:date="2020-09-08T15:09:24Z" w:initials="">
    <w:p w14:paraId="27C41516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不是具体目标</w:t>
      </w:r>
    </w:p>
  </w:comment>
  <w:comment w:id="5" w:author="黄向军" w:date="2020-09-08T15:09:26Z" w:initials="">
    <w:p w14:paraId="375C078F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不是具体目标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9C6EC4" w15:done="0"/>
  <w15:commentEx w15:paraId="697F1AD9" w15:done="0"/>
  <w15:commentEx w15:paraId="36543F67" w15:done="0"/>
  <w15:commentEx w15:paraId="25E96D15" w15:done="0"/>
  <w15:commentEx w15:paraId="27C41516" w15:done="0"/>
  <w15:commentEx w15:paraId="375C07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向军">
    <w15:presenceInfo w15:providerId="WPS Office" w15:userId="3099005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105F2"/>
    <w:rsid w:val="00082636"/>
    <w:rsid w:val="000C0B98"/>
    <w:rsid w:val="000E7D74"/>
    <w:rsid w:val="000F6201"/>
    <w:rsid w:val="00140D82"/>
    <w:rsid w:val="00231615"/>
    <w:rsid w:val="0025174F"/>
    <w:rsid w:val="0029474C"/>
    <w:rsid w:val="002A310C"/>
    <w:rsid w:val="002A439F"/>
    <w:rsid w:val="002A7EC1"/>
    <w:rsid w:val="00321BEC"/>
    <w:rsid w:val="00323B43"/>
    <w:rsid w:val="00335B18"/>
    <w:rsid w:val="003C2664"/>
    <w:rsid w:val="003D37D8"/>
    <w:rsid w:val="004060B7"/>
    <w:rsid w:val="00426133"/>
    <w:rsid w:val="004358AB"/>
    <w:rsid w:val="004506A2"/>
    <w:rsid w:val="004541B7"/>
    <w:rsid w:val="00467C40"/>
    <w:rsid w:val="00474B63"/>
    <w:rsid w:val="00475440"/>
    <w:rsid w:val="00507021"/>
    <w:rsid w:val="00532C60"/>
    <w:rsid w:val="00576D8E"/>
    <w:rsid w:val="005926A3"/>
    <w:rsid w:val="005B1E52"/>
    <w:rsid w:val="005E42CD"/>
    <w:rsid w:val="005F6689"/>
    <w:rsid w:val="006B5839"/>
    <w:rsid w:val="00712235"/>
    <w:rsid w:val="0075495B"/>
    <w:rsid w:val="00837B4D"/>
    <w:rsid w:val="008B7726"/>
    <w:rsid w:val="008C606C"/>
    <w:rsid w:val="009A5D3F"/>
    <w:rsid w:val="009B5BE2"/>
    <w:rsid w:val="009D4A81"/>
    <w:rsid w:val="009D701F"/>
    <w:rsid w:val="009E1C23"/>
    <w:rsid w:val="00A51A22"/>
    <w:rsid w:val="00A54B69"/>
    <w:rsid w:val="00A83192"/>
    <w:rsid w:val="00B32FE1"/>
    <w:rsid w:val="00B46264"/>
    <w:rsid w:val="00BA0018"/>
    <w:rsid w:val="00C435AD"/>
    <w:rsid w:val="00C77098"/>
    <w:rsid w:val="00C87267"/>
    <w:rsid w:val="00CA1CB5"/>
    <w:rsid w:val="00D31D50"/>
    <w:rsid w:val="00DD2891"/>
    <w:rsid w:val="00E10F77"/>
    <w:rsid w:val="00E613C7"/>
    <w:rsid w:val="00F51D83"/>
    <w:rsid w:val="00F85F5E"/>
    <w:rsid w:val="3DB14826"/>
    <w:rsid w:val="6A7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BB2EA7-5323-481E-8B55-F5D31D698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1565</Characters>
  <Lines>13</Lines>
  <Paragraphs>3</Paragraphs>
  <TotalTime>85</TotalTime>
  <ScaleCrop>false</ScaleCrop>
  <LinksUpToDate>false</LinksUpToDate>
  <CharactersWithSpaces>1836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dcterms:modified xsi:type="dcterms:W3CDTF">2020-10-15T07:29:03Z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