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kern w:val="21"/>
          <w:sz w:val="44"/>
          <w:szCs w:val="44"/>
        </w:rPr>
      </w:pPr>
      <w:r>
        <w:rPr>
          <w:rFonts w:hint="default" w:ascii="Times New Roman" w:hAnsi="Times New Roman" w:eastAsia="方正小标宋简体" w:cs="Times New Roman"/>
          <w:kern w:val="21"/>
          <w:sz w:val="44"/>
          <w:szCs w:val="44"/>
        </w:rPr>
        <w:t>南县老干局 2019 年部门预算说明</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kern w:val="21"/>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黑体" w:cs="Times New Roman"/>
          <w:kern w:val="21"/>
          <w:sz w:val="32"/>
          <w:szCs w:val="32"/>
        </w:rPr>
      </w:pPr>
      <w:r>
        <w:rPr>
          <w:rFonts w:hint="default" w:ascii="Times New Roman" w:hAnsi="Times New Roman" w:eastAsia="黑体" w:cs="Times New Roman"/>
          <w:kern w:val="21"/>
          <w:sz w:val="32"/>
          <w:szCs w:val="32"/>
        </w:rPr>
        <w:t>一、部门基本概况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1、职能职责</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落实离退休老干部的政治、生活、医疗待遇，组织老干部开展各项文体活动，办好老干部大学，组织老干部各团队、协会的工作</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做到老有所养、老有所乐、老有所医、老有所学；并负责县关工委的各项工作。</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我局属全额拨款的行政事业单位，在编在职人员 12 人，退休科级干部 6 人，其他退休干部 2 人。</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2、机构设置</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内设职能科室 5 个。分别为关工委、办公室、生活待遇股、老干所、老干部活动中心。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黑体" w:cs="Times New Roman"/>
          <w:kern w:val="21"/>
          <w:sz w:val="32"/>
          <w:szCs w:val="32"/>
        </w:rPr>
      </w:pPr>
      <w:r>
        <w:rPr>
          <w:rFonts w:hint="default" w:ascii="Times New Roman" w:hAnsi="Times New Roman" w:eastAsia="黑体" w:cs="Times New Roman"/>
          <w:kern w:val="21"/>
          <w:sz w:val="32"/>
          <w:szCs w:val="32"/>
        </w:rPr>
        <w:t>二、部门预算单位构成</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老干局部门只有本级，没有其他二级预算单位，因此，纳入2019 年部门预算编制范围的只有老干局部门本级。</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kern w:val="21"/>
          <w:sz w:val="32"/>
          <w:szCs w:val="32"/>
        </w:rPr>
      </w:pPr>
      <w:r>
        <w:rPr>
          <w:rFonts w:hint="eastAsia" w:ascii="黑体" w:hAnsi="黑体" w:eastAsia="黑体" w:cs="黑体"/>
          <w:kern w:val="21"/>
          <w:sz w:val="32"/>
          <w:szCs w:val="32"/>
        </w:rPr>
        <w:t>三、部门收支总体情况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（一）收入预算，2019 年年初预算数 261.8 万元，其中，一般公共预算财政拨款 261.8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（二）支出预算，2019 年年初预算数 261.8 万元，其中，一般公共服务</w:t>
      </w:r>
      <w:r>
        <w:rPr>
          <w:rFonts w:hint="eastAsia" w:ascii="Times New Roman" w:hAnsi="Times New Roman" w:eastAsia="仿宋_GB2312" w:cs="Times New Roman"/>
          <w:kern w:val="21"/>
          <w:sz w:val="32"/>
          <w:szCs w:val="32"/>
          <w:lang w:eastAsia="zh-CN"/>
        </w:rPr>
        <w:t>支出</w:t>
      </w:r>
      <w:r>
        <w:rPr>
          <w:rFonts w:hint="default" w:ascii="Times New Roman" w:hAnsi="Times New Roman" w:eastAsia="仿宋_GB2312" w:cs="Times New Roman"/>
          <w:kern w:val="21"/>
          <w:sz w:val="32"/>
          <w:szCs w:val="32"/>
        </w:rPr>
        <w:t xml:space="preserve"> 235.67 万元，社会保障和就业支出 9.2 万元，</w:t>
      </w:r>
      <w:r>
        <w:rPr>
          <w:rFonts w:hint="eastAsia" w:ascii="Times New Roman" w:hAnsi="Times New Roman" w:eastAsia="仿宋_GB2312" w:cs="Times New Roman"/>
          <w:kern w:val="21"/>
          <w:sz w:val="32"/>
          <w:szCs w:val="32"/>
          <w:lang w:eastAsia="zh-CN"/>
        </w:rPr>
        <w:t>卫生健康</w:t>
      </w:r>
      <w:r>
        <w:rPr>
          <w:rFonts w:hint="default" w:ascii="Times New Roman" w:hAnsi="Times New Roman" w:eastAsia="仿宋_GB2312" w:cs="Times New Roman"/>
          <w:kern w:val="21"/>
          <w:sz w:val="32"/>
          <w:szCs w:val="32"/>
        </w:rPr>
        <w:t>支出 7.22 万元，住房保障支出 9.71 万元。支出较去年预算数增加 15.04 万元，主要是人员工资增加。</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kern w:val="21"/>
          <w:sz w:val="32"/>
          <w:szCs w:val="32"/>
        </w:rPr>
      </w:pPr>
      <w:r>
        <w:rPr>
          <w:rFonts w:hint="eastAsia" w:ascii="黑体" w:hAnsi="黑体" w:eastAsia="黑体" w:cs="黑体"/>
          <w:kern w:val="21"/>
          <w:sz w:val="32"/>
          <w:szCs w:val="32"/>
          <w:lang w:eastAsia="zh-CN"/>
        </w:rPr>
        <w:t>四</w:t>
      </w:r>
      <w:r>
        <w:rPr>
          <w:rFonts w:hint="eastAsia" w:ascii="黑体" w:hAnsi="黑体" w:eastAsia="黑体" w:cs="黑体"/>
          <w:kern w:val="21"/>
          <w:sz w:val="32"/>
          <w:szCs w:val="32"/>
        </w:rPr>
        <w:t>、部门收支</w:t>
      </w:r>
      <w:r>
        <w:rPr>
          <w:rFonts w:hint="eastAsia" w:ascii="黑体" w:hAnsi="黑体" w:eastAsia="黑体" w:cs="黑体"/>
          <w:kern w:val="21"/>
          <w:sz w:val="32"/>
          <w:szCs w:val="32"/>
          <w:lang w:eastAsia="zh-CN"/>
        </w:rPr>
        <w:t>预算增减变动</w:t>
      </w:r>
      <w:bookmarkStart w:id="0" w:name="_GoBack"/>
      <w:bookmarkEnd w:id="0"/>
      <w:r>
        <w:rPr>
          <w:rFonts w:hint="eastAsia" w:ascii="黑体" w:hAnsi="黑体" w:eastAsia="黑体" w:cs="黑体"/>
          <w:kern w:val="21"/>
          <w:sz w:val="32"/>
          <w:szCs w:val="32"/>
        </w:rPr>
        <w:t>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Times New Roman" w:hAnsi="Times New Roman" w:eastAsia="仿宋_GB2312" w:cs="Times New Roman"/>
          <w:kern w:val="21"/>
          <w:sz w:val="32"/>
          <w:szCs w:val="32"/>
          <w:lang w:eastAsia="zh-CN"/>
        </w:rPr>
      </w:pPr>
      <w:r>
        <w:rPr>
          <w:rFonts w:hint="eastAsia" w:ascii="Times New Roman" w:hAnsi="Times New Roman" w:eastAsia="仿宋_GB2312" w:cs="Times New Roman"/>
          <w:kern w:val="21"/>
          <w:sz w:val="32"/>
          <w:szCs w:val="32"/>
          <w:lang w:eastAsia="zh-CN"/>
        </w:rPr>
        <w:t>收入</w:t>
      </w:r>
      <w:r>
        <w:rPr>
          <w:rFonts w:hint="default" w:ascii="Times New Roman" w:hAnsi="Times New Roman" w:eastAsia="仿宋_GB2312" w:cs="Times New Roman"/>
          <w:kern w:val="21"/>
          <w:sz w:val="32"/>
          <w:szCs w:val="32"/>
        </w:rPr>
        <w:t>较去年预算数增加 15.04 万元，主要是</w:t>
      </w:r>
      <w:r>
        <w:rPr>
          <w:rFonts w:hint="eastAsia" w:ascii="Times New Roman" w:hAnsi="Times New Roman" w:eastAsia="仿宋_GB2312" w:cs="Times New Roman"/>
          <w:kern w:val="21"/>
          <w:sz w:val="32"/>
          <w:szCs w:val="32"/>
          <w:lang w:eastAsia="zh-CN"/>
        </w:rPr>
        <w:t>财政拨款收入增加。</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lang w:eastAsia="zh-CN"/>
        </w:rPr>
        <w:t>支出</w:t>
      </w:r>
      <w:r>
        <w:rPr>
          <w:rFonts w:hint="default" w:ascii="Times New Roman" w:hAnsi="Times New Roman" w:eastAsia="仿宋_GB2312" w:cs="Times New Roman"/>
          <w:kern w:val="21"/>
          <w:sz w:val="32"/>
          <w:szCs w:val="32"/>
        </w:rPr>
        <w:t>较去年预算数增加 15.04 万元，主要是</w:t>
      </w:r>
      <w:r>
        <w:rPr>
          <w:rFonts w:hint="eastAsia" w:ascii="Times New Roman" w:hAnsi="Times New Roman" w:eastAsia="仿宋_GB2312" w:cs="Times New Roman"/>
          <w:kern w:val="21"/>
          <w:sz w:val="32"/>
          <w:szCs w:val="32"/>
          <w:lang w:eastAsia="zh-CN"/>
        </w:rPr>
        <w:t>人员工资等待遇总体提高。</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kern w:val="21"/>
          <w:sz w:val="32"/>
          <w:szCs w:val="32"/>
        </w:rPr>
      </w:pPr>
      <w:r>
        <w:rPr>
          <w:rFonts w:hint="eastAsia" w:ascii="黑体" w:hAnsi="黑体" w:eastAsia="黑体" w:cs="黑体"/>
          <w:kern w:val="21"/>
          <w:sz w:val="32"/>
          <w:szCs w:val="32"/>
          <w:lang w:eastAsia="zh-CN"/>
        </w:rPr>
        <w:t>五</w:t>
      </w:r>
      <w:r>
        <w:rPr>
          <w:rFonts w:hint="eastAsia" w:ascii="黑体" w:hAnsi="黑体" w:eastAsia="黑体" w:cs="黑体"/>
          <w:kern w:val="21"/>
          <w:sz w:val="32"/>
          <w:szCs w:val="32"/>
        </w:rPr>
        <w:t>、一般公共预算拨款支出预算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2019 年一般公共预算拨款收入 261.8 万元，具体安排情况如下：</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（一）基本支出：2019 年初预算数为 176.85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（二）项目支出：2019 年年初预算数为 84.95 万元，是指单位为完成特定行政工作任务或事业发展目标而发生的支出，包括有关事业发展专项、专项业务费等。其中：公务接待费 1.46 万元；专项商品和服务支出 78.54 万元，其中：离退休干部工委经费 6 万元、老干部学习资料征订费 4 万元、特困老干部帮扶 3 万元、健康讲座及检查 6 万元，休养所经费 7 万元、关工委经费 5 万元，老年大学经费 7 万元，老干活动中心 7 万元，老干特殊慰问经费 5 万元，异地老干部慰问 2 万元，老干工作经费及表彰 1.18 万元，离休干部配偶、遗孀生活补助 18.36 万元，老干文体活动 7 万元。事业单位经营服务支出 4.95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（三）部门政府性基金预算和国有资本经营预算拨款收支情况：1、本部门无政府性基金预算收支，并已公开空表。2、本部门无国有资本经营预算拨款收支情况。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kern w:val="21"/>
          <w:sz w:val="32"/>
          <w:szCs w:val="32"/>
        </w:rPr>
      </w:pPr>
      <w:r>
        <w:rPr>
          <w:rFonts w:hint="eastAsia" w:ascii="黑体" w:hAnsi="黑体" w:eastAsia="黑体" w:cs="黑体"/>
          <w:kern w:val="21"/>
          <w:sz w:val="32"/>
          <w:szCs w:val="32"/>
          <w:lang w:eastAsia="zh-CN"/>
        </w:rPr>
        <w:t>六</w:t>
      </w:r>
      <w:r>
        <w:rPr>
          <w:rFonts w:hint="eastAsia" w:ascii="黑体" w:hAnsi="黑体" w:eastAsia="黑体" w:cs="黑体"/>
          <w:kern w:val="21"/>
          <w:sz w:val="32"/>
          <w:szCs w:val="32"/>
        </w:rPr>
        <w:t>、其他重要事项的情况说明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1、机关运行经费</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2019 年本部门机关运行经费当年一般公共预算拨款 46.15万元，比 2018 年预算增加 2.23万元，下降上升 1.05%。主要是单位编内在职人员发生变动和公务用车运行维护经费列入部门基本支出预算。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2、“三公”经费预算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2018 年“三公”经费预算数为 1.46 万元，其中，公务接待费 1.46万元，公务用车购置及运行费 0 万元，因公出国（境）费 0 万元。2019年“三公”经费预算与 2018 年持平。</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3、政府采购情况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2019 年本部门政府采购预算总额 0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4、国有资产占有使用情况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南县老干局共有国有资产 109 万元。一是房屋数量 2 栋，面积1200 平方米，价值 85 万元；二是办公设备及培训设备数量 30 件，价值 24 万元。</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5、绩效目标情况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本单位 2019 年实现了部门支出整体绩效目标覆盖，无 30 万以上的重点专项支出。</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eastAsia" w:ascii="黑体" w:hAnsi="黑体" w:eastAsia="黑体" w:cs="黑体"/>
          <w:kern w:val="21"/>
          <w:sz w:val="32"/>
          <w:szCs w:val="32"/>
        </w:rPr>
      </w:pPr>
      <w:r>
        <w:rPr>
          <w:rFonts w:hint="eastAsia" w:ascii="黑体" w:hAnsi="黑体" w:eastAsia="黑体" w:cs="黑体"/>
          <w:kern w:val="21"/>
          <w:sz w:val="32"/>
          <w:szCs w:val="32"/>
          <w:lang w:eastAsia="zh-CN"/>
        </w:rPr>
        <w:t>七</w:t>
      </w:r>
      <w:r>
        <w:rPr>
          <w:rFonts w:hint="eastAsia" w:ascii="黑体" w:hAnsi="黑体" w:eastAsia="黑体" w:cs="黑体"/>
          <w:kern w:val="21"/>
          <w:sz w:val="32"/>
          <w:szCs w:val="32"/>
        </w:rPr>
        <w:t>、名词解释</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val="0"/>
        <w:autoSpaceDN w:val="0"/>
        <w:bidi w:val="0"/>
        <w:adjustRightInd/>
        <w:snapToGrid/>
        <w:spacing w:line="580" w:lineRule="exact"/>
        <w:ind w:firstLine="622" w:firstLineChars="200"/>
        <w:jc w:val="both"/>
        <w:textAlignment w:val="auto"/>
        <w:rPr>
          <w:rFonts w:hint="default" w:ascii="Times New Roman" w:hAnsi="Times New Roman" w:eastAsia="仿宋_GB2312" w:cs="Times New Roman"/>
          <w:kern w:val="21"/>
          <w:sz w:val="32"/>
          <w:szCs w:val="32"/>
        </w:rPr>
      </w:pPr>
    </w:p>
    <w:sectPr>
      <w:headerReference r:id="rId3" w:type="default"/>
      <w:pgSz w:w="11910" w:h="16840"/>
      <w:pgMar w:top="1701" w:right="1531" w:bottom="1701" w:left="1531" w:header="924" w:footer="0" w:gutter="0"/>
      <w:cols w:space="0" w:num="1"/>
      <w:rtlGutter w:val="0"/>
      <w:docGrid w:type="linesAndChars" w:linePitch="610" w:charSpace="-1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2000019F" w:csb1="00000000"/>
  </w:font>
  <w:font w:name="Calibri">
    <w:altName w:val="Segoe U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ind w:left="0"/>
      <w:rPr>
        <w:sz w:val="20"/>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05"/>
  <w:drawingGridVerticalSpacing w:val="305"/>
  <w:displayHorizontalDrawingGridEvery w:val="2"/>
  <w:displayVerticalDrawingGridEvery w:val="2"/>
  <w:characterSpacingControl w:val="compressPunctuation"/>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67D9C"/>
    <w:rsid w:val="62D11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30"/>
      <w:szCs w:val="3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2020-01-24T08:42:00Z</dcterms:created>
  <dc:creator>admin</dc:creator>
  <cp:lastModifiedBy>Administrator</cp:lastModifiedBy>
  <dcterms:modified xsi:type="dcterms:W3CDTF">2020-02-24T07:12:32Z</dcterms:modified>
  <dc:title>南县老干局2019年部门预算说明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2020-01-24T00:00:00Z</vt:filetime>
  </property>
  <property fmtid="{D5CDD505-2E9C-101B-9397-08002B2CF9AE}" pid="5" name="KSOProductBuildVer">
    <vt:lpwstr>2052-11.1.0.9339</vt:lpwstr>
  </property>
</Properties>
</file>