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eastAsiaTheme="minorEastAsia"/>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eastAsiaTheme="minorEastAsia"/>
          <w:sz w:val="40"/>
          <w:szCs w:val="40"/>
        </w:rPr>
      </w:pPr>
      <w:bookmarkStart w:id="0" w:name="_GoBack"/>
      <w:r>
        <w:rPr>
          <w:rFonts w:hint="default" w:ascii="Times New Roman" w:hAnsi="Times New Roman" w:cs="Times New Roman" w:eastAsiaTheme="minorEastAsia"/>
          <w:sz w:val="40"/>
          <w:szCs w:val="40"/>
        </w:rPr>
        <w:t>南县城市管理行政执法局2019 年部门预算说明</w:t>
      </w:r>
    </w:p>
    <w:bookmarkEnd w:id="0"/>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南县城市管理行政执法局是县人民政府的一个工作部门。主要职责是行使市容环境卫生管理、园林绿化管理、市政管理、城乡规划管理、工商行政管理、交通管理、环境保护管理、城市建筑垃圾管理等 8 个方面法律、法规、规章规定的部门行政处罚及承办县政府组织的中心城市重大执法活动和交办的其他事项。全局现有在职人员 137 人，退休人员 10 人。总编制 151 个，其中行政编 8 个，全额（差额）拨款事业编制 53 个，自收自支编制 90 个。</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内设职能科室九个：办公室、财务装备股、人事政工股、法制宣传股、监察室、信息指挥中心、城管执法大队、规划执法大队、渣土管理大队。</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南县城市管理行政执法局部门只有本级，没有其他二级预算单位，因此，纳入 2019 年部门预算编制范围的只有南县城市管理行政执法局本级。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（一）预算收入，2019 年年初预算数 1049.74 万元，其中， 一般公共预算财政拨款 1034.74 万元，纳入专户管理的非税收入15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（二）支出预算，2019 年年初预算数 1049.74 万元，其中， 社会保障和就业支出</w:t>
      </w:r>
      <w:r>
        <w:rPr>
          <w:rFonts w:hint="eastAsia" w:ascii="Times New Roman" w:hAnsi="Times New Roman" w:cs="Times New Roman" w:eastAsiaTheme="minorEastAsia"/>
          <w:sz w:val="32"/>
          <w:szCs w:val="32"/>
          <w:lang w:val="en-US" w:eastAsia="zh-CN"/>
        </w:rPr>
        <w:t>109.92</w:t>
      </w:r>
      <w:r>
        <w:rPr>
          <w:rFonts w:hint="default" w:ascii="Times New Roman" w:hAnsi="Times New Roman" w:cs="Times New Roman" w:eastAsiaTheme="minorEastAsia"/>
          <w:sz w:val="32"/>
          <w:szCs w:val="32"/>
        </w:rPr>
        <w:t xml:space="preserve"> 万元，</w:t>
      </w:r>
      <w:r>
        <w:rPr>
          <w:rFonts w:hint="eastAsia" w:ascii="Times New Roman" w:hAnsi="Times New Roman" w:cs="Times New Roman" w:eastAsiaTheme="minorEastAsia"/>
          <w:sz w:val="32"/>
          <w:szCs w:val="32"/>
          <w:lang w:eastAsia="zh-CN"/>
        </w:rPr>
        <w:t>卫生健康支出</w:t>
      </w:r>
      <w:r>
        <w:rPr>
          <w:rFonts w:hint="eastAsia" w:ascii="Times New Roman" w:hAnsi="Times New Roman" w:cs="Times New Roman" w:eastAsiaTheme="minorEastAsia"/>
          <w:sz w:val="32"/>
          <w:szCs w:val="32"/>
          <w:lang w:val="en-US" w:eastAsia="zh-CN"/>
        </w:rPr>
        <w:t>14.36万元，城乡社区事务支出897.15万元，</w:t>
      </w:r>
      <w:r>
        <w:rPr>
          <w:rFonts w:hint="default" w:ascii="Times New Roman" w:hAnsi="Times New Roman" w:cs="Times New Roman" w:eastAsiaTheme="minorEastAsia"/>
          <w:sz w:val="32"/>
          <w:szCs w:val="32"/>
        </w:rPr>
        <w:t>住房保障支出 28.31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四、部门收支预算增减变动情况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收入较去年预算数增加 72.19 万元， </w:t>
      </w:r>
      <w:r>
        <w:rPr>
          <w:rFonts w:hint="eastAsia" w:ascii="Times New Roman" w:hAnsi="Times New Roman" w:cs="Times New Roman" w:eastAsiaTheme="minorEastAsia"/>
          <w:sz w:val="32"/>
          <w:szCs w:val="32"/>
          <w:lang w:eastAsia="zh-CN"/>
        </w:rPr>
        <w:t>增加</w:t>
      </w:r>
      <w:r>
        <w:rPr>
          <w:rFonts w:hint="eastAsia" w:ascii="Times New Roman" w:hAnsi="Times New Roman" w:cs="Times New Roman" w:eastAsiaTheme="minorEastAsia"/>
          <w:sz w:val="32"/>
          <w:szCs w:val="32"/>
          <w:lang w:val="en-US" w:eastAsia="zh-CN"/>
        </w:rPr>
        <w:t>7.4%，</w:t>
      </w:r>
      <w:r>
        <w:rPr>
          <w:rFonts w:hint="default" w:ascii="Times New Roman" w:hAnsi="Times New Roman" w:cs="Times New Roman" w:eastAsiaTheme="minorEastAsia"/>
          <w:sz w:val="32"/>
          <w:szCs w:val="32"/>
        </w:rPr>
        <w:t>主要是公务用车运行维护经费列入部门基本支出预算和在职人员增加 2 人公务费预算额度增加。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支出</w:t>
      </w:r>
      <w:r>
        <w:rPr>
          <w:rFonts w:hint="default" w:ascii="Times New Roman" w:hAnsi="Times New Roman" w:cs="Times New Roman" w:eastAsiaTheme="minorEastAsia"/>
          <w:sz w:val="32"/>
          <w:szCs w:val="32"/>
        </w:rPr>
        <w:t xml:space="preserve">较去年预算数增加 72.19 万元， </w:t>
      </w:r>
      <w:r>
        <w:rPr>
          <w:rFonts w:hint="eastAsia" w:ascii="Times New Roman" w:hAnsi="Times New Roman" w:cs="Times New Roman" w:eastAsiaTheme="minorEastAsia"/>
          <w:sz w:val="32"/>
          <w:szCs w:val="32"/>
          <w:lang w:eastAsia="zh-CN"/>
        </w:rPr>
        <w:t>增加</w:t>
      </w:r>
      <w:r>
        <w:rPr>
          <w:rFonts w:hint="eastAsia" w:ascii="Times New Roman" w:hAnsi="Times New Roman" w:cs="Times New Roman" w:eastAsiaTheme="minorEastAsia"/>
          <w:sz w:val="32"/>
          <w:szCs w:val="32"/>
          <w:lang w:val="en-US" w:eastAsia="zh-CN"/>
        </w:rPr>
        <w:t>7.4%，</w:t>
      </w:r>
      <w:r>
        <w:rPr>
          <w:rFonts w:hint="default" w:ascii="Times New Roman" w:hAnsi="Times New Roman" w:cs="Times New Roman" w:eastAsiaTheme="minorEastAsia"/>
          <w:sz w:val="32"/>
          <w:szCs w:val="32"/>
        </w:rPr>
        <w:t xml:space="preserve"> 主要是公务用车运行维护经费列入部门基本支出预算和在职人员增加 2 人公务费预算额度增加。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2019 年一般公共预算拨款收入 1049.74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（一）基本支出：2019 年初预算数为 768.74 万元，是指为保障单位机构正常运转、完成日常工作任务而发生的各项支出， 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（二）项目支出：2019 年年初预算数为 56 万元，是指单位为完成特定行政工作任务或事业发展目标而发生的支出，包括有关事业发展专项、专项业务费等。其中：培训费 2 万元，咨询费6.4 万元，劳务费 28 万元，专项商品和服务支出 19.60 万元， 明细为：1、控违拆违经费，2、法律服务及培训经费，3、城区综合整治经费；资本性支出 0 万元，今年未安排政府采购货物支出；对附属单位补助支出 225 万元，主要是对附属单位人员的支出。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六</w:t>
      </w:r>
      <w:r>
        <w:rPr>
          <w:rFonts w:hint="default" w:ascii="Times New Roman" w:hAnsi="Times New Roman" w:cs="Times New Roman" w:eastAsiaTheme="minorEastAsia"/>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2019 年本部门机关运行经费当年一般公共预算拨款 56.40万元，比 2018 年预算增加 2.4 万元，上升 4%。主要是在职人员增加 2 人公务费预算额度增加。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2018 年“三公”经费预算数为 75.20 万元，其中，公务接</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待费 15.20 万元，公务用车购置及运行费 60 万元，因公出国（境）费 0 万元。2019 年“三公”经费预算较 2018 年增加 56.20 万元， 主要是公务用车运行维护费列入部门基本支出预算。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2019 年本部门政府采购预算总额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南县城市管理行政执法局共有国有资产 187.11 万元。一</w:t>
      </w:r>
      <w:r>
        <w:rPr>
          <w:rFonts w:hint="eastAsia" w:ascii="Times New Roman" w:hAnsi="Times New Roman" w:cs="Times New Roman" w:eastAsiaTheme="minorEastAsia"/>
          <w:sz w:val="32"/>
          <w:szCs w:val="32"/>
          <w:lang w:eastAsia="zh-CN"/>
        </w:rPr>
        <w:t>是</w:t>
      </w:r>
      <w:r>
        <w:rPr>
          <w:rFonts w:hint="default" w:ascii="Times New Roman" w:hAnsi="Times New Roman" w:cs="Times New Roman" w:eastAsiaTheme="minorEastAsia"/>
          <w:sz w:val="32"/>
          <w:szCs w:val="32"/>
        </w:rPr>
        <w:t>通用设备数量 236 件，价值 68.96 万元；二是车辆数量 12 台，</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价值 83.20 万元；三是专用设备数量 35 件，价值 0.65 万元；四是家具用具数量 502 件，价值 34.30 万元。5、绩效目标情况</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本单位 2019 年实现了部门支出整体绩效目标覆盖，无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七</w:t>
      </w:r>
      <w:r>
        <w:rPr>
          <w:rFonts w:hint="default" w:ascii="Times New Roman" w:hAnsi="Times New Roman" w:cs="Times New Roman" w:eastAsiaTheme="minorEastAsia"/>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10" w:h="16840"/>
      <w:pgMar w:top="1540" w:right="1540" w:bottom="1701" w:left="16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A0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60"/>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2020-02-16T05:35:00Z</dcterms:created>
  <dc:creator>Windows 用户</dc:creator>
  <cp:lastModifiedBy>someone1370439269</cp:lastModifiedBy>
  <dcterms:modified xsi:type="dcterms:W3CDTF">2020-02-16T05:40:45Z</dcterms:modified>
  <dc:title>县城市管理行政执法局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