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cs="Times New Roman"/>
          <w:kern w:val="21"/>
          <w:sz w:val="40"/>
          <w:szCs w:val="40"/>
        </w:rPr>
      </w:pPr>
      <w:r>
        <w:rPr>
          <w:rFonts w:hint="default" w:ascii="Times New Roman" w:hAnsi="Times New Roman" w:cs="Times New Roman"/>
          <w:kern w:val="21"/>
          <w:sz w:val="40"/>
          <w:szCs w:val="40"/>
        </w:rPr>
        <w:t>南县职业中专 2019 年部门预算说明</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kern w:val="21"/>
          <w:sz w:val="32"/>
          <w:szCs w:val="32"/>
        </w:rPr>
      </w:pPr>
      <w:bookmarkStart w:id="0" w:name="_GoBack"/>
      <w:bookmarkEnd w:id="0"/>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一、 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1 、 职能职责</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南 县 职业 中 专 是 省级 示 范 性 职业 学 校， 国 家 级重 点职业中专学校， 是南县唯一的公办职业中专。 学校的职能是培养专业技术应用人才， 提高社会职业素质， 从事专业学历教育及相关职业培训。</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2 、 机构设置</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南 县 职 业 中 专 内 设 机 构 为 校 长 室 、 办 公 室 、 教 导处 、 总 务 处 、 学 生 处 、 工 会 、 团 委 、 财 务 室 、 实 习 处 、 招生 就 业 办 及 项 目 办 。</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二、 部门预算单位构成</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宋体" w:cs="Times New Roman"/>
          <w:kern w:val="21"/>
          <w:sz w:val="32"/>
          <w:szCs w:val="32"/>
          <w:lang w:val="en-US" w:eastAsia="zh-CN"/>
        </w:rPr>
      </w:pPr>
      <w:r>
        <w:rPr>
          <w:rFonts w:hint="default" w:ascii="Times New Roman" w:hAnsi="Times New Roman" w:cs="Times New Roman"/>
          <w:kern w:val="21"/>
          <w:sz w:val="32"/>
          <w:szCs w:val="32"/>
          <w:lang w:eastAsia="zh-CN"/>
        </w:rPr>
        <w:t>纳入</w:t>
      </w:r>
      <w:r>
        <w:rPr>
          <w:rFonts w:hint="default" w:ascii="Times New Roman" w:hAnsi="Times New Roman" w:cs="Times New Roman"/>
          <w:kern w:val="21"/>
          <w:sz w:val="32"/>
          <w:szCs w:val="32"/>
          <w:lang w:val="en-US" w:eastAsia="zh-CN"/>
        </w:rPr>
        <w:t>2019年预算编制范围的只有</w:t>
      </w:r>
      <w:r>
        <w:rPr>
          <w:rFonts w:hint="default" w:ascii="Times New Roman" w:hAnsi="Times New Roman" w:cs="Times New Roman"/>
          <w:kern w:val="21"/>
          <w:sz w:val="32"/>
          <w:szCs w:val="32"/>
        </w:rPr>
        <w:t>南县职业中等专业学校</w:t>
      </w:r>
      <w:r>
        <w:rPr>
          <w:rFonts w:hint="default" w:ascii="Times New Roman" w:hAnsi="Times New Roman" w:cs="Times New Roman"/>
          <w:kern w:val="21"/>
          <w:sz w:val="32"/>
          <w:szCs w:val="32"/>
          <w:lang w:eastAsia="zh-CN"/>
        </w:rPr>
        <w:t>本级。</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三、 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（一） 收入预算， 2019 年年初预算数 2519 . 46 万元， 其中， 一般公共预算财政拨款 2487</w:t>
      </w:r>
      <w:r>
        <w:rPr>
          <w:rFonts w:hint="default" w:ascii="Times New Roman" w:hAnsi="Times New Roman" w:cs="Times New Roman"/>
          <w:kern w:val="21"/>
          <w:sz w:val="32"/>
          <w:szCs w:val="32"/>
          <w:lang w:val="en-US" w:eastAsia="zh-CN"/>
        </w:rPr>
        <w:t>.</w:t>
      </w:r>
      <w:r>
        <w:rPr>
          <w:rFonts w:hint="default" w:ascii="Times New Roman" w:hAnsi="Times New Roman" w:cs="Times New Roman"/>
          <w:kern w:val="21"/>
          <w:sz w:val="32"/>
          <w:szCs w:val="32"/>
        </w:rPr>
        <w:t>46 万元， 政府性基金预算拨款 0 万元 ，纳 入专户管理的非税收入 32 万元 ，上 级补助收入 0 万元。</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（二） 支出预算， 2019 年年初预算数 2519</w:t>
      </w:r>
      <w:r>
        <w:rPr>
          <w:rFonts w:hint="default" w:ascii="Times New Roman" w:hAnsi="Times New Roman" w:cs="Times New Roman"/>
          <w:kern w:val="21"/>
          <w:sz w:val="32"/>
          <w:szCs w:val="32"/>
          <w:lang w:val="en-US" w:eastAsia="zh-CN"/>
        </w:rPr>
        <w:t>.</w:t>
      </w:r>
      <w:r>
        <w:rPr>
          <w:rFonts w:hint="default" w:ascii="Times New Roman" w:hAnsi="Times New Roman" w:cs="Times New Roman"/>
          <w:kern w:val="21"/>
          <w:sz w:val="32"/>
          <w:szCs w:val="32"/>
        </w:rPr>
        <w:t>46 万元， 其中 ，教 育支出 1642 . 24 万元 ，社 会保保障和就业支出 646</w:t>
      </w:r>
      <w:r>
        <w:rPr>
          <w:rFonts w:hint="default" w:ascii="Times New Roman" w:hAnsi="Times New Roman" w:cs="Times New Roman"/>
          <w:kern w:val="21"/>
          <w:sz w:val="32"/>
          <w:szCs w:val="32"/>
          <w:lang w:val="en-US" w:eastAsia="zh-CN"/>
        </w:rPr>
        <w:t>.</w:t>
      </w:r>
      <w:r>
        <w:rPr>
          <w:rFonts w:hint="default" w:ascii="Times New Roman" w:hAnsi="Times New Roman" w:cs="Times New Roman"/>
          <w:kern w:val="21"/>
          <w:sz w:val="32"/>
          <w:szCs w:val="32"/>
        </w:rPr>
        <w:t>46 万元， 医疗健康支出 80 . 63 万元， 住房保障支出 150</w:t>
      </w:r>
      <w:r>
        <w:rPr>
          <w:rFonts w:hint="default" w:ascii="Times New Roman" w:hAnsi="Times New Roman" w:cs="Times New Roman"/>
          <w:kern w:val="21"/>
          <w:sz w:val="32"/>
          <w:szCs w:val="32"/>
          <w:lang w:val="en-US" w:eastAsia="zh-CN"/>
        </w:rPr>
        <w:t>.</w:t>
      </w:r>
      <w:r>
        <w:rPr>
          <w:rFonts w:hint="default" w:ascii="Times New Roman" w:hAnsi="Times New Roman" w:cs="Times New Roman"/>
          <w:kern w:val="21"/>
          <w:sz w:val="32"/>
          <w:szCs w:val="32"/>
        </w:rPr>
        <w:t xml:space="preserve">13 万元。 </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（三） 部门政府性基金预算和国有资本经营预算拨款收支情况： 1 、 本部门无政府性基金预算收支， 并已公开空表。 2 、 本部门无国有资本经营预算拨款收支情况。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lang w:eastAsia="zh-CN"/>
        </w:rPr>
        <w:t>四</w:t>
      </w:r>
      <w:r>
        <w:rPr>
          <w:rFonts w:hint="default" w:ascii="Times New Roman" w:hAnsi="Times New Roman" w:cs="Times New Roman"/>
          <w:kern w:val="21"/>
          <w:sz w:val="32"/>
          <w:szCs w:val="32"/>
        </w:rPr>
        <w:t xml:space="preserve"> </w:t>
      </w:r>
      <w:r>
        <w:rPr>
          <w:rFonts w:hint="default" w:ascii="Times New Roman" w:hAnsi="Times New Roman" w:cs="Times New Roman"/>
          <w:kern w:val="21"/>
          <w:sz w:val="32"/>
          <w:szCs w:val="32"/>
          <w:lang w:eastAsia="zh-CN"/>
        </w:rPr>
        <w:t>、</w:t>
      </w:r>
      <w:r>
        <w:rPr>
          <w:rFonts w:hint="default" w:ascii="Times New Roman" w:hAnsi="Times New Roman" w:cs="Times New Roman"/>
          <w:kern w:val="21"/>
          <w:sz w:val="32"/>
          <w:szCs w:val="32"/>
        </w:rPr>
        <w:t>部门收支</w:t>
      </w:r>
      <w:r>
        <w:rPr>
          <w:rFonts w:hint="default" w:ascii="Times New Roman" w:hAnsi="Times New Roman" w:cs="Times New Roman"/>
          <w:kern w:val="21"/>
          <w:sz w:val="32"/>
          <w:szCs w:val="32"/>
          <w:lang w:eastAsia="zh-CN"/>
        </w:rPr>
        <w:t>预算增加变化</w:t>
      </w:r>
      <w:r>
        <w:rPr>
          <w:rFonts w:hint="default" w:ascii="Times New Roman" w:hAnsi="Times New Roman" w:cs="Times New Roman"/>
          <w:kern w:val="21"/>
          <w:sz w:val="32"/>
          <w:szCs w:val="32"/>
        </w:rPr>
        <w:t>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宋体" w:cs="Times New Roman"/>
          <w:kern w:val="21"/>
          <w:sz w:val="32"/>
          <w:szCs w:val="32"/>
          <w:lang w:eastAsia="zh-CN"/>
        </w:rPr>
      </w:pPr>
      <w:r>
        <w:rPr>
          <w:rFonts w:hint="default" w:ascii="Times New Roman" w:hAnsi="Times New Roman" w:cs="Times New Roman"/>
          <w:kern w:val="21"/>
          <w:sz w:val="32"/>
          <w:szCs w:val="32"/>
          <w:lang w:eastAsia="zh-CN"/>
        </w:rPr>
        <w:t>收入</w:t>
      </w:r>
      <w:r>
        <w:rPr>
          <w:rFonts w:hint="default" w:ascii="Times New Roman" w:hAnsi="Times New Roman" w:cs="Times New Roman"/>
          <w:kern w:val="21"/>
          <w:sz w:val="32"/>
          <w:szCs w:val="32"/>
        </w:rPr>
        <w:t>较去年预算数增加 94</w:t>
      </w:r>
      <w:r>
        <w:rPr>
          <w:rFonts w:hint="default" w:ascii="Times New Roman" w:hAnsi="Times New Roman" w:cs="Times New Roman"/>
          <w:kern w:val="21"/>
          <w:sz w:val="32"/>
          <w:szCs w:val="32"/>
          <w:lang w:val="en-US" w:eastAsia="zh-CN"/>
        </w:rPr>
        <w:t>.</w:t>
      </w:r>
      <w:r>
        <w:rPr>
          <w:rFonts w:hint="default" w:ascii="Times New Roman" w:hAnsi="Times New Roman" w:cs="Times New Roman"/>
          <w:kern w:val="21"/>
          <w:sz w:val="32"/>
          <w:szCs w:val="32"/>
        </w:rPr>
        <w:t>38 万元，</w:t>
      </w:r>
      <w:r>
        <w:rPr>
          <w:rFonts w:hint="default" w:ascii="Times New Roman" w:hAnsi="Times New Roman" w:cs="Times New Roman"/>
          <w:kern w:val="21"/>
          <w:sz w:val="32"/>
          <w:szCs w:val="32"/>
          <w:lang w:eastAsia="zh-CN"/>
        </w:rPr>
        <w:t>增加</w:t>
      </w:r>
      <w:r>
        <w:rPr>
          <w:rFonts w:hint="default" w:ascii="Times New Roman" w:hAnsi="Times New Roman" w:cs="Times New Roman"/>
          <w:kern w:val="21"/>
          <w:sz w:val="32"/>
          <w:szCs w:val="32"/>
          <w:lang w:val="en-US" w:eastAsia="zh-CN"/>
        </w:rPr>
        <w:t>3.9%，</w:t>
      </w:r>
      <w:r>
        <w:rPr>
          <w:rFonts w:hint="default" w:ascii="Times New Roman" w:hAnsi="Times New Roman" w:cs="Times New Roman"/>
          <w:kern w:val="21"/>
          <w:sz w:val="32"/>
          <w:szCs w:val="32"/>
        </w:rPr>
        <w:t xml:space="preserve"> 主要是</w:t>
      </w:r>
      <w:r>
        <w:rPr>
          <w:rFonts w:hint="default" w:ascii="Times New Roman" w:hAnsi="Times New Roman" w:cs="Times New Roman"/>
          <w:kern w:val="21"/>
          <w:sz w:val="32"/>
          <w:szCs w:val="32"/>
          <w:lang w:eastAsia="zh-CN"/>
        </w:rPr>
        <w:t>一般公共预算财政拨款收入增加。</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支出较去年预算数增加 94</w:t>
      </w:r>
      <w:r>
        <w:rPr>
          <w:rFonts w:hint="default" w:ascii="Times New Roman" w:hAnsi="Times New Roman" w:cs="Times New Roman"/>
          <w:kern w:val="21"/>
          <w:sz w:val="32"/>
          <w:szCs w:val="32"/>
          <w:lang w:val="en-US" w:eastAsia="zh-CN"/>
        </w:rPr>
        <w:t>.</w:t>
      </w:r>
      <w:r>
        <w:rPr>
          <w:rFonts w:hint="default" w:ascii="Times New Roman" w:hAnsi="Times New Roman" w:cs="Times New Roman"/>
          <w:kern w:val="21"/>
          <w:sz w:val="32"/>
          <w:szCs w:val="32"/>
        </w:rPr>
        <w:t>38 万元，</w:t>
      </w:r>
      <w:r>
        <w:rPr>
          <w:rFonts w:hint="default" w:ascii="Times New Roman" w:hAnsi="Times New Roman" w:cs="Times New Roman"/>
          <w:kern w:val="21"/>
          <w:sz w:val="32"/>
          <w:szCs w:val="32"/>
          <w:lang w:eastAsia="zh-CN"/>
        </w:rPr>
        <w:t>增加</w:t>
      </w:r>
      <w:r>
        <w:rPr>
          <w:rFonts w:hint="default" w:ascii="Times New Roman" w:hAnsi="Times New Roman" w:cs="Times New Roman"/>
          <w:kern w:val="21"/>
          <w:sz w:val="32"/>
          <w:szCs w:val="32"/>
          <w:lang w:val="en-US" w:eastAsia="zh-CN"/>
        </w:rPr>
        <w:t>3.9%，</w:t>
      </w:r>
      <w:r>
        <w:rPr>
          <w:rFonts w:hint="default" w:ascii="Times New Roman" w:hAnsi="Times New Roman" w:cs="Times New Roman"/>
          <w:kern w:val="21"/>
          <w:sz w:val="32"/>
          <w:szCs w:val="32"/>
        </w:rPr>
        <w:t xml:space="preserve"> 主要是人员工资增加，人员经费的增加。</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lang w:eastAsia="zh-CN"/>
        </w:rPr>
        <w:t>五、</w:t>
      </w:r>
      <w:r>
        <w:rPr>
          <w:rFonts w:hint="default" w:ascii="Times New Roman" w:hAnsi="Times New Roman" w:cs="Times New Roman"/>
          <w:kern w:val="21"/>
          <w:sz w:val="32"/>
          <w:szCs w:val="32"/>
        </w:rPr>
        <w:t xml:space="preserve"> 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eastAsia="宋体" w:cs="Times New Roman"/>
          <w:kern w:val="21"/>
          <w:sz w:val="32"/>
          <w:szCs w:val="32"/>
          <w:lang w:eastAsia="zh-CN"/>
        </w:rPr>
      </w:pPr>
      <w:r>
        <w:rPr>
          <w:rFonts w:hint="default" w:ascii="Times New Roman" w:hAnsi="Times New Roman" w:cs="Times New Roman"/>
          <w:kern w:val="21"/>
          <w:sz w:val="32"/>
          <w:szCs w:val="32"/>
        </w:rPr>
        <w:t>2019 年一般公共预算拨款收入 2519 . 46 万元 ，具 体安排情况如下</w:t>
      </w:r>
      <w:r>
        <w:rPr>
          <w:rFonts w:hint="default" w:ascii="Times New Roman" w:hAnsi="Times New Roman" w:cs="Times New Roman"/>
          <w:kern w:val="21"/>
          <w:sz w:val="32"/>
          <w:szCs w:val="32"/>
          <w:lang w:eastAsia="zh-CN"/>
        </w:rPr>
        <w:t>：</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（一） 基本支出： 2019 年初预算数为 2438 . 01 万元， 是指为 保障 单位 机构 正常 运转、 完成 日常 工作 任务 而发 生的各项支出， 包括用于基本工资、 津贴补贴等人员经费以及办公费、 印刷费、 水电费、 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 二） 项目支出： 2019 年年初预算数为 81 . 45 万元， 是指单位为完成特定行政工作任务或事业发展目标而发生的支出， 包括有关事业发展专项、专项业务费等。其中： 公务接待费 0 万元； 专项商品和服务支出 79 万元， 明细为： 课改 8 万元， 争资立项 8 万元， 高考经费 5 万元， 招生经费 8 万，城西职高部 50 万元 ；资 本性支出 0 万元，主要用于购置； 对附属单位补助支出 0 万元， 主要是对附属单位人员的支出，事业单位经营服务支出 2 . 45 万元，主要为三力士公司上交收入税金。</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lang w:eastAsia="zh-CN"/>
        </w:rPr>
        <w:t>六</w:t>
      </w:r>
      <w:r>
        <w:rPr>
          <w:rFonts w:hint="default" w:ascii="Times New Roman" w:hAnsi="Times New Roman" w:cs="Times New Roman"/>
          <w:kern w:val="21"/>
          <w:sz w:val="32"/>
          <w:szCs w:val="32"/>
        </w:rPr>
        <w:t>、 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1 、 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2019 年本部门机关运行经费当年一般公共预算拨款195</w:t>
      </w:r>
      <w:r>
        <w:rPr>
          <w:rFonts w:hint="default" w:ascii="Times New Roman" w:hAnsi="Times New Roman" w:cs="Times New Roman"/>
          <w:kern w:val="21"/>
          <w:sz w:val="32"/>
          <w:szCs w:val="32"/>
          <w:lang w:val="en-US" w:eastAsia="zh-CN"/>
        </w:rPr>
        <w:t>.</w:t>
      </w:r>
      <w:r>
        <w:rPr>
          <w:rFonts w:hint="default" w:ascii="Times New Roman" w:hAnsi="Times New Roman" w:cs="Times New Roman"/>
          <w:kern w:val="21"/>
          <w:sz w:val="32"/>
          <w:szCs w:val="32"/>
        </w:rPr>
        <w:t>97 万元， 比 2018 年 192 . 79 万元预算增加 3 . 18 万元， 上升 1</w:t>
      </w:r>
      <w:r>
        <w:rPr>
          <w:rFonts w:hint="default" w:ascii="Times New Roman" w:hAnsi="Times New Roman" w:cs="Times New Roman"/>
          <w:kern w:val="21"/>
          <w:sz w:val="32"/>
          <w:szCs w:val="32"/>
          <w:lang w:val="en-US" w:eastAsia="zh-CN"/>
        </w:rPr>
        <w:t>.</w:t>
      </w:r>
      <w:r>
        <w:rPr>
          <w:rFonts w:hint="default" w:ascii="Times New Roman" w:hAnsi="Times New Roman" w:cs="Times New Roman"/>
          <w:kern w:val="21"/>
          <w:sz w:val="32"/>
          <w:szCs w:val="32"/>
        </w:rPr>
        <w:t>6 % 。 主要是单位编内在职人员发生变动和公务用车运行维护经费列入部门基本支出预算。</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2 、“ 三公” 经费预算</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2019 年“ 三公” 经费预算数为 8 万元， 其中， 公务接待费 8 万元， 公务用车购置及运行费 0 万元， 因公出国（ 境） 费 0 万元。 2019 年“ 三公” 经费预算与 2018 年持平。</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3 、 政府采购情况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2019 年本部门政府采购预算总额 0 万元， 其中： 政府采购货物预算 0 万元、 政府采购工程预算 0 万元、 政府采购服务预算 0 万元。</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4 、 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南县职业中专共有国有资产 2801 . 04 万元。 一是房屋数量 20 栋， 面积 35851 平方米， 价值 1679 . 06 万元； 二是办公设备及培训设备数量 267 件，价值 889 . 73 万元；图书44960 册， 价值 24 . 11 万元。</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5 、 绩效目标情况本单位</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2019 年实现了部门支出整体绩效目标覆盖，无 30 万以上的重点专项支出。</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lang w:eastAsia="zh-CN"/>
        </w:rPr>
        <w:t>七</w:t>
      </w:r>
      <w:r>
        <w:rPr>
          <w:rFonts w:hint="default" w:ascii="Times New Roman" w:hAnsi="Times New Roman" w:cs="Times New Roman"/>
          <w:kern w:val="21"/>
          <w:sz w:val="32"/>
          <w:szCs w:val="32"/>
        </w:rPr>
        <w:t>、 名词解释</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1 、 机关运行经费： 是指各部门的公用经费， 包括办公及印刷费、 邮电费、 差旅费、 会议费、 福利费、 日常维修费、专用资料及一般设备购置费、 办公用房水电费、 办公用房取暖费、 办公用房物业管理费、 公务用车运行维护费以及其他费用。</w:t>
      </w:r>
    </w:p>
    <w:p>
      <w:pPr>
        <w:keepNext w:val="0"/>
        <w:keepLines w:val="0"/>
        <w:pageBreakBefore w:val="0"/>
        <w:widowControl w:val="0"/>
        <w:kinsoku/>
        <w:wordWrap/>
        <w:overflowPunct w:val="0"/>
        <w:topLinePunct/>
        <w:autoSpaceDE/>
        <w:autoSpaceDN/>
        <w:bidi w:val="0"/>
        <w:adjustRightInd/>
        <w:snapToGrid/>
        <w:spacing w:line="580" w:lineRule="exact"/>
        <w:ind w:firstLine="642" w:firstLineChars="200"/>
        <w:jc w:val="both"/>
        <w:textAlignment w:val="baseline"/>
        <w:rPr>
          <w:rFonts w:hint="default" w:ascii="Times New Roman" w:hAnsi="Times New Roman" w:cs="Times New Roman"/>
          <w:kern w:val="21"/>
          <w:sz w:val="32"/>
          <w:szCs w:val="32"/>
        </w:rPr>
      </w:pPr>
      <w:r>
        <w:rPr>
          <w:rFonts w:hint="default" w:ascii="Times New Roman" w:hAnsi="Times New Roman" w:cs="Times New Roman"/>
          <w:kern w:val="21"/>
          <w:sz w:val="32"/>
          <w:szCs w:val="32"/>
        </w:rPr>
        <w:t>2 、“ 三公” 经费： 纳入县财政预算管理的“ 三公“ 经费，是指 用一 般公 共预 算拨 款安 排的 公务 接待 费、 公务 用车购置及运行维护费和因公出国（ 境） 费。其中， 公务接待费反映 单位 按规 定开 支的 各类 公务 接待 支出； 公务 用车 购置及 运行 费反 映单 位公 务用 车车 辆购 置支 出（ 含车 辆购置税 ）， 以及燃料费、维修费、保险费等支出； 因公出国（ 境） 费反映单位公务出国（ 境） 的国际旅费、 国外城市间交通费、 食宿费等支出。</w:t>
      </w:r>
    </w:p>
    <w:sectPr>
      <w:pgSz w:w="11910" w:h="16840"/>
      <w:pgMar w:top="1701" w:right="1531" w:bottom="1701" w:left="1531" w:header="720" w:footer="720" w:gutter="0"/>
      <w:paperSrc/>
      <w:cols w:equalWidth="0" w:num="1">
        <w:col w:w="8848"/>
      </w:cols>
      <w:rtlGutter w:val="0"/>
      <w:docGrid w:type="linesAndChars" w:linePitch="688" w:charSpace="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NEU-BZ">
    <w:panose1 w:val="03000502000000000000"/>
    <w:charset w:val="86"/>
    <w:family w:val="script"/>
    <w:pitch w:val="default"/>
    <w:sig w:usb0="10002003" w:usb1="AB1E0800" w:usb2="000A004E" w:usb3="00000000" w:csb0="003C0041" w:csb1="A008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drawingGridHorizontalSpacing w:val="111"/>
  <w:drawingGridVerticalSpacing w:val="344"/>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337F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1"/>
      <w:jc w:val="both"/>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2020-02-15T08:20:00Z</dcterms:created>
  <dc:creator>Administrator</dc:creator>
  <cp:lastModifiedBy>someone1370439269</cp:lastModifiedBy>
  <dcterms:modified xsi:type="dcterms:W3CDTF">2020-02-15T08:30:25Z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WPS 文字</vt:lpwstr>
  </property>
  <property fmtid="{D5CDD505-2E9C-101B-9397-08002B2CF9AE}" pid="4" name="LastSaved">
    <vt:filetime>2020-02-15T00:00:00Z</vt:filetime>
  </property>
  <property fmtid="{D5CDD505-2E9C-101B-9397-08002B2CF9AE}" pid="5" name="KSOProductBuildVer">
    <vt:lpwstr>2052-11.1.0.9440</vt:lpwstr>
  </property>
</Properties>
</file>