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方正小标宋简体" w:cs="Times New Roman"/>
          <w:kern w:val="21"/>
          <w:sz w:val="44"/>
          <w:szCs w:val="44"/>
        </w:rPr>
      </w:pPr>
      <w:r>
        <w:rPr>
          <w:rFonts w:hint="default" w:ascii="Times New Roman" w:hAnsi="Times New Roman" w:eastAsia="方正小标宋简体" w:cs="Times New Roman"/>
          <w:kern w:val="21"/>
          <w:sz w:val="44"/>
          <w:szCs w:val="44"/>
          <w:lang w:eastAsia="zh-CN"/>
        </w:rPr>
        <w:t>中共</w:t>
      </w:r>
      <w:r>
        <w:rPr>
          <w:rFonts w:hint="default" w:ascii="Times New Roman" w:hAnsi="Times New Roman" w:eastAsia="方正小标宋简体" w:cs="Times New Roman"/>
          <w:kern w:val="21"/>
          <w:sz w:val="44"/>
          <w:szCs w:val="44"/>
        </w:rPr>
        <w:t>南县</w:t>
      </w:r>
      <w:r>
        <w:rPr>
          <w:rFonts w:hint="default" w:ascii="Times New Roman" w:hAnsi="Times New Roman" w:eastAsia="方正小标宋简体" w:cs="Times New Roman"/>
          <w:kern w:val="21"/>
          <w:sz w:val="44"/>
          <w:szCs w:val="44"/>
          <w:lang w:eastAsia="zh-CN"/>
        </w:rPr>
        <w:t>县委</w:t>
      </w:r>
      <w:r>
        <w:rPr>
          <w:rFonts w:hint="default" w:ascii="Times New Roman" w:hAnsi="Times New Roman" w:eastAsia="方正小标宋简体" w:cs="Times New Roman"/>
          <w:kern w:val="21"/>
          <w:sz w:val="44"/>
          <w:szCs w:val="44"/>
        </w:rPr>
        <w:t>党校 2019 年预算公开</w:t>
      </w:r>
    </w:p>
    <w:p>
      <w:pPr>
        <w:keepNext w:val="0"/>
        <w:keepLines w:val="0"/>
        <w:pageBreakBefore w:val="0"/>
        <w:widowControl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仿宋_GB2312" w:cs="Times New Roman"/>
          <w:kern w:val="21"/>
          <w:sz w:val="32"/>
          <w:szCs w:val="32"/>
          <w:lang w:val="en-US" w:eastAsia="zh-CN"/>
        </w:rPr>
      </w:pP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黑体" w:cs="Times New Roman"/>
          <w:kern w:val="21"/>
          <w:sz w:val="32"/>
          <w:szCs w:val="32"/>
        </w:rPr>
      </w:pPr>
      <w:r>
        <w:rPr>
          <w:rFonts w:hint="default" w:ascii="Times New Roman" w:hAnsi="Times New Roman" w:eastAsia="黑体" w:cs="Times New Roman"/>
          <w:kern w:val="21"/>
          <w:sz w:val="32"/>
          <w:szCs w:val="32"/>
        </w:rPr>
        <w:t>一、部门基本概况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1、职能职责</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党校现有在职在编干部教师职工 19 人，其中副处级 3 人(其中1 人副处级实职，2 人副处级职级)，副科级 4 人，高级讲师 4 人，讲师6 人，其他 2 人。退休干部教师职工 17 人，其中正科级 3 人，副科级3 人，高级讲师 3 人，讲师 6 人，其他 2 人。学校 2019 年主要工作任务：</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(1)干部教育培训：</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●青年干部培训班一期（学制 2 个月,学员 55 人左右）；</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●科级干部进修班两期(学制 1 个月，学员 100 人左右)；</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●学习十九大精神理论培训班一期；</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●入党发展对象培训班两期（学制 1 周，学员 260 人左右）；</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●与其他部门联合举办各级各类干部、业务骨干培训班。</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以上办班以县委干教领导小组 2019 年下发的干教计划为准。</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(2)全县理论政策宣讲。</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(3)全县经济社会发展重大问题课题调研。</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(4)三创工作、征地拆迁、2 个办点村工作及县委、政府交办的其他中心工作。</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2、机构设置</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下设办公室、教务室、科研室、后勤室四个职能科室。</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二、部门预算单位构成</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纳入 2019 部门预算编制范围的只有南县党校本级。</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eastAsia" w:ascii="黑体" w:hAnsi="黑体" w:eastAsia="黑体" w:cs="黑体"/>
          <w:kern w:val="21"/>
          <w:sz w:val="32"/>
          <w:szCs w:val="32"/>
        </w:rPr>
        <w:t>三、部门收支总体情况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（一）收入预算，2019 年年初预算数 359.23 万元，其中，一般公共预算财政拨款 358.73 万元，纳入专户管理的非税收入 0.5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（二）支出预算，2019 年年初预算数 359.23 万元，</w:t>
      </w:r>
      <w:bookmarkStart w:id="0" w:name="_GoBack"/>
      <w:bookmarkEnd w:id="0"/>
      <w:r>
        <w:rPr>
          <w:rFonts w:hint="default" w:ascii="Times New Roman" w:hAnsi="Times New Roman" w:eastAsia="仿宋_GB2312" w:cs="Times New Roman"/>
          <w:kern w:val="21"/>
          <w:sz w:val="32"/>
          <w:szCs w:val="32"/>
        </w:rPr>
        <w:t>其中，社会保障和就业支出 335 万元，医疗卫生与计划生育支出 8.33 万元，住房保障支出 15.9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（三）部门政府性基金预算和国有资本经营预算拨款收支情况： 1、本部门无政府性基金预算收支，并已公开空表。2、本部门无国有资本经营预算拨款收支情况。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黑体" w:hAnsi="黑体" w:eastAsia="黑体" w:cs="黑体"/>
          <w:kern w:val="21"/>
          <w:sz w:val="32"/>
          <w:szCs w:val="32"/>
        </w:rPr>
      </w:pPr>
      <w:r>
        <w:rPr>
          <w:rFonts w:hint="eastAsia" w:ascii="黑体" w:hAnsi="黑体" w:eastAsia="黑体" w:cs="黑体"/>
          <w:kern w:val="21"/>
          <w:sz w:val="32"/>
          <w:szCs w:val="32"/>
          <w:lang w:eastAsia="zh-CN"/>
        </w:rPr>
        <w:t>四</w:t>
      </w:r>
      <w:r>
        <w:rPr>
          <w:rFonts w:hint="eastAsia" w:ascii="黑体" w:hAnsi="黑体" w:eastAsia="黑体" w:cs="黑体"/>
          <w:kern w:val="21"/>
          <w:sz w:val="32"/>
          <w:szCs w:val="32"/>
        </w:rPr>
        <w:t>、部门</w:t>
      </w:r>
      <w:r>
        <w:rPr>
          <w:rFonts w:hint="eastAsia" w:ascii="黑体" w:hAnsi="黑体" w:eastAsia="黑体" w:cs="黑体"/>
          <w:kern w:val="21"/>
          <w:sz w:val="32"/>
          <w:szCs w:val="32"/>
          <w:lang w:eastAsia="zh-CN"/>
        </w:rPr>
        <w:t>预算</w:t>
      </w:r>
      <w:r>
        <w:rPr>
          <w:rFonts w:hint="eastAsia" w:ascii="黑体" w:hAnsi="黑体" w:eastAsia="黑体" w:cs="黑体"/>
          <w:kern w:val="21"/>
          <w:sz w:val="32"/>
          <w:szCs w:val="32"/>
        </w:rPr>
        <w:t>收支</w:t>
      </w:r>
      <w:r>
        <w:rPr>
          <w:rFonts w:hint="eastAsia" w:ascii="黑体" w:hAnsi="黑体" w:eastAsia="黑体" w:cs="黑体"/>
          <w:kern w:val="21"/>
          <w:sz w:val="32"/>
          <w:szCs w:val="32"/>
          <w:lang w:eastAsia="zh-CN"/>
        </w:rPr>
        <w:t>增减变化</w:t>
      </w:r>
      <w:r>
        <w:rPr>
          <w:rFonts w:hint="eastAsia" w:ascii="黑体" w:hAnsi="黑体" w:eastAsia="黑体" w:cs="黑体"/>
          <w:kern w:val="21"/>
          <w:sz w:val="32"/>
          <w:szCs w:val="32"/>
        </w:rPr>
        <w:t>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收入较去年预算数减少 10.5 万元，主要是</w:t>
      </w:r>
      <w:r>
        <w:rPr>
          <w:rFonts w:hint="eastAsia" w:ascii="Times New Roman" w:hAnsi="Times New Roman" w:eastAsia="仿宋_GB2312" w:cs="Times New Roman"/>
          <w:kern w:val="21"/>
          <w:sz w:val="32"/>
          <w:szCs w:val="32"/>
          <w:lang w:eastAsia="zh-CN"/>
        </w:rPr>
        <w:t>财政拨款收入减少</w:t>
      </w:r>
      <w:r>
        <w:rPr>
          <w:rFonts w:hint="default" w:ascii="Times New Roman" w:hAnsi="Times New Roman" w:eastAsia="仿宋_GB2312" w:cs="Times New Roman"/>
          <w:kern w:val="21"/>
          <w:sz w:val="32"/>
          <w:szCs w:val="32"/>
        </w:rPr>
        <w:t xml:space="preserve"> 。</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支出较去年预算数减少 10.5 万元，主要是</w:t>
      </w:r>
      <w:r>
        <w:rPr>
          <w:rFonts w:hint="eastAsia" w:ascii="Times New Roman" w:hAnsi="Times New Roman" w:eastAsia="仿宋_GB2312" w:cs="Times New Roman"/>
          <w:kern w:val="21"/>
          <w:sz w:val="32"/>
          <w:szCs w:val="32"/>
          <w:lang w:eastAsia="zh-CN"/>
        </w:rPr>
        <w:t>按县政府统一安排，</w:t>
      </w:r>
      <w:r>
        <w:rPr>
          <w:rFonts w:hint="default" w:ascii="Times New Roman" w:hAnsi="Times New Roman" w:eastAsia="仿宋_GB2312" w:cs="Times New Roman"/>
          <w:kern w:val="21"/>
          <w:sz w:val="32"/>
          <w:szCs w:val="32"/>
        </w:rPr>
        <w:t>项目支出</w:t>
      </w:r>
      <w:r>
        <w:rPr>
          <w:rFonts w:hint="eastAsia" w:ascii="Times New Roman" w:hAnsi="Times New Roman" w:eastAsia="仿宋_GB2312" w:cs="Times New Roman"/>
          <w:kern w:val="21"/>
          <w:sz w:val="32"/>
          <w:szCs w:val="32"/>
          <w:lang w:eastAsia="zh-CN"/>
        </w:rPr>
        <w:t>压减</w:t>
      </w:r>
      <w:r>
        <w:rPr>
          <w:rFonts w:hint="eastAsia" w:ascii="Times New Roman" w:hAnsi="Times New Roman" w:eastAsia="仿宋_GB2312" w:cs="Times New Roman"/>
          <w:kern w:val="21"/>
          <w:sz w:val="32"/>
          <w:szCs w:val="32"/>
          <w:lang w:val="en-US" w:eastAsia="zh-CN"/>
        </w:rPr>
        <w:t>20%，</w:t>
      </w:r>
      <w:r>
        <w:rPr>
          <w:rFonts w:hint="default" w:ascii="Times New Roman" w:hAnsi="Times New Roman" w:eastAsia="仿宋_GB2312" w:cs="Times New Roman"/>
          <w:kern w:val="21"/>
          <w:sz w:val="32"/>
          <w:szCs w:val="32"/>
        </w:rPr>
        <w:t>减少 26 万元。</w:t>
      </w:r>
      <w:r>
        <w:rPr>
          <w:rFonts w:hint="eastAsia" w:ascii="Times New Roman" w:hAnsi="Times New Roman" w:eastAsia="仿宋_GB2312" w:cs="Times New Roman"/>
          <w:kern w:val="21"/>
          <w:sz w:val="32"/>
          <w:szCs w:val="32"/>
          <w:lang w:eastAsia="zh-CN"/>
        </w:rPr>
        <w:t>同时，人员经费增加，两者相抵，支出减少。</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kern w:val="21"/>
          <w:sz w:val="32"/>
          <w:szCs w:val="32"/>
        </w:rPr>
      </w:pPr>
      <w:r>
        <w:rPr>
          <w:rFonts w:hint="eastAsia" w:ascii="黑体" w:hAnsi="黑体" w:eastAsia="黑体" w:cs="黑体"/>
          <w:kern w:val="21"/>
          <w:sz w:val="32"/>
          <w:szCs w:val="32"/>
          <w:lang w:eastAsia="zh-CN"/>
        </w:rPr>
        <w:t>五</w:t>
      </w:r>
      <w:r>
        <w:rPr>
          <w:rFonts w:hint="eastAsia" w:ascii="黑体" w:hAnsi="黑体" w:eastAsia="黑体" w:cs="黑体"/>
          <w:kern w:val="21"/>
          <w:sz w:val="32"/>
          <w:szCs w:val="32"/>
        </w:rPr>
        <w:t>、一般公共预算拨款支出预算</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2019 年一般公共预算拨款收入 359.23 万元，具体安排情况如下：</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（一）基本支出：2019 年年初预算数为 318.23 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（二）项目支出：2019 年年初预算数为 41 万元，是指单位为完成特定行政工作任务或事业发展目标而发生的支出，包括有关事业发展专项、专项业务费等。其中：公务接待费 2.72 万元；专项商品和服务支出 38.28 万元。</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kern w:val="21"/>
          <w:sz w:val="32"/>
          <w:szCs w:val="32"/>
        </w:rPr>
      </w:pPr>
      <w:r>
        <w:rPr>
          <w:rFonts w:hint="eastAsia" w:ascii="黑体" w:hAnsi="黑体" w:eastAsia="黑体" w:cs="黑体"/>
          <w:kern w:val="21"/>
          <w:sz w:val="32"/>
          <w:szCs w:val="32"/>
          <w:lang w:eastAsia="zh-CN"/>
        </w:rPr>
        <w:t>六</w:t>
      </w:r>
      <w:r>
        <w:rPr>
          <w:rFonts w:hint="eastAsia" w:ascii="黑体" w:hAnsi="黑体" w:eastAsia="黑体" w:cs="黑体"/>
          <w:kern w:val="21"/>
          <w:sz w:val="32"/>
          <w:szCs w:val="32"/>
        </w:rPr>
        <w:t>、其他重要事项的情况说明</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1、机关运行经费</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2019 年本部门机关运行经费当年一般公共预算拨款 32.87万元，比 2018 年预算增加 0.98 万元，上升 3.07%。主要是单位编内在职人员工资提标和公务交通补贴列入基本支出预算。</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2、“三公”经费预算</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2019 年“三公”经费预算数为 2.72 万元，其中，公务接待费 2.72 万元，公务用车购置及运行费 0 万元（2019 年部门公务用车运行维护经费列入县级专项），因公出国（境）费 0 万元。2019 年“三公”经费预算与 2018 年减少 0.18 万元，下降 6.2%。</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3、政府采购情况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Times New Roman" w:hAnsi="Times New Roman" w:eastAsia="仿宋_GB2312" w:cs="Times New Roman"/>
          <w:kern w:val="21"/>
          <w:sz w:val="32"/>
          <w:szCs w:val="32"/>
          <w:lang w:eastAsia="zh-CN"/>
        </w:rPr>
      </w:pPr>
      <w:r>
        <w:rPr>
          <w:rFonts w:hint="default" w:ascii="Times New Roman" w:hAnsi="Times New Roman" w:eastAsia="仿宋_GB2312" w:cs="Times New Roman"/>
          <w:kern w:val="21"/>
          <w:sz w:val="32"/>
          <w:szCs w:val="32"/>
        </w:rPr>
        <w:t>2019 年本部门政府采购预算总额 0 万元</w:t>
      </w:r>
      <w:r>
        <w:rPr>
          <w:rFonts w:hint="eastAsia" w:ascii="Times New Roman" w:hAnsi="Times New Roman" w:eastAsia="仿宋_GB2312" w:cs="Times New Roman"/>
          <w:kern w:val="21"/>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4、国有资产占有使用情况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南县党校共有国有资产 337.91 万元。一是房屋数量 2 栋，面积3000 平方米，价值 289.38 万元；二是通用设备数量 73 台，价值 39.96万元 ；三是家具用具装具及动植物数量 150 张，价值 2.04 万元；四</w:t>
      </w:r>
      <w:r>
        <w:rPr>
          <w:rFonts w:hint="eastAsia" w:ascii="Times New Roman" w:hAnsi="Times New Roman" w:eastAsia="仿宋_GB2312" w:cs="Times New Roman"/>
          <w:kern w:val="21"/>
          <w:sz w:val="32"/>
          <w:szCs w:val="32"/>
          <w:lang w:eastAsia="zh-CN"/>
        </w:rPr>
        <w:t>是</w:t>
      </w:r>
      <w:r>
        <w:rPr>
          <w:rFonts w:hint="default" w:ascii="Times New Roman" w:hAnsi="Times New Roman" w:eastAsia="仿宋_GB2312" w:cs="Times New Roman"/>
          <w:kern w:val="21"/>
          <w:sz w:val="32"/>
          <w:szCs w:val="32"/>
        </w:rPr>
        <w:t>专用设备 2 张，价值 6.53 万元 。</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5、绩效目标情况</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本单位 2019 年实现了部门整体绩效目标覆盖，无 30 万以上的重点专项支出。</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eastAsia" w:ascii="黑体" w:hAnsi="黑体" w:eastAsia="黑体" w:cs="黑体"/>
          <w:kern w:val="21"/>
          <w:sz w:val="32"/>
          <w:szCs w:val="32"/>
        </w:rPr>
      </w:pPr>
      <w:r>
        <w:rPr>
          <w:rFonts w:hint="eastAsia" w:ascii="黑体" w:hAnsi="黑体" w:eastAsia="黑体" w:cs="黑体"/>
          <w:kern w:val="21"/>
          <w:sz w:val="32"/>
          <w:szCs w:val="32"/>
          <w:lang w:eastAsia="zh-CN"/>
        </w:rPr>
        <w:t>七</w:t>
      </w:r>
      <w:r>
        <w:rPr>
          <w:rFonts w:hint="eastAsia" w:ascii="黑体" w:hAnsi="黑体" w:eastAsia="黑体" w:cs="黑体"/>
          <w:kern w:val="21"/>
          <w:sz w:val="32"/>
          <w:szCs w:val="32"/>
        </w:rPr>
        <w:t>、名词解释</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autoSpaceDE/>
        <w:autoSpaceDN/>
        <w:bidi w:val="0"/>
        <w:adjustRightInd/>
        <w:snapToGrid/>
        <w:spacing w:line="580" w:lineRule="exact"/>
        <w:ind w:firstLine="622"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sectPr>
      <w:pgSz w:w="11910" w:h="16840"/>
      <w:pgMar w:top="1701" w:right="1531" w:bottom="1701" w:left="1531" w:header="720" w:footer="720" w:gutter="0"/>
      <w:paperSrc/>
      <w:cols w:space="0" w:num="1"/>
      <w:rtlGutter w:val="0"/>
      <w:docGrid w:type="linesAndChars" w:linePitch="610" w:charSpace="-1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EU-BZ">
    <w:panose1 w:val="03000502000000000000"/>
    <w:charset w:val="86"/>
    <w:family w:val="script"/>
    <w:pitch w:val="default"/>
    <w:sig w:usb0="10002003" w:usb1="AB1E0800" w:usb2="000A004E" w:usb3="00000000" w:csb0="003C0041" w:csb1="A00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05"/>
  <w:drawingGridVerticalSpacing w:val="305"/>
  <w:displayHorizontalDrawingGridEvery w:val="2"/>
  <w:displayVertic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E2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701"/>
      <w:outlineLvl w:val="1"/>
    </w:pPr>
    <w:rPr>
      <w:rFonts w:ascii="宋体" w:hAnsi="宋体" w:eastAsia="宋体" w:cs="宋体"/>
      <w:b/>
      <w:bCs/>
      <w:sz w:val="30"/>
      <w:szCs w:val="30"/>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line="580" w:lineRule="exact"/>
      <w:ind w:left="101"/>
    </w:pPr>
    <w:rPr>
      <w:rFonts w:ascii="宋体" w:hAnsi="宋体" w:eastAsia="宋体" w:cs="宋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580" w:lineRule="exact"/>
      <w:ind w:left="1002" w:hanging="302"/>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2020-01-28T08:36:00Z</dcterms:created>
  <dc:creator>Administrator</dc:creator>
  <cp:lastModifiedBy>someone1370439269</cp:lastModifiedBy>
  <dcterms:modified xsi:type="dcterms:W3CDTF">2020-01-28T08:54:21Z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WPS 文字</vt:lpwstr>
  </property>
  <property fmtid="{D5CDD505-2E9C-101B-9397-08002B2CF9AE}" pid="4" name="LastSaved">
    <vt:filetime>2020-01-28T00:00:00Z</vt:filetime>
  </property>
  <property fmtid="{D5CDD505-2E9C-101B-9397-08002B2CF9AE}" pid="5" name="KSOProductBuildVer">
    <vt:lpwstr>2052-11.1.0.9339</vt:lpwstr>
  </property>
</Properties>
</file>