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南县看守所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1、职能职责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看守所羁押依法被刑事拘留、逮捕的犯罪嫌疑人、被告人的机关。依据国家法律对被羁押的犯罪嫌疑人、被告人、罪犯实行武装警戒看守、进行教育、管理其生活和卫生、保障侦查、起诉和审判工作的顺利进行。余刑三个月以下的罪犯，也可以在看守所服刑。全所现有民警 18 人，辅警 7 人、临聘人员 4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南县看守所设所领导岗位、管教岗位、巡控岗位以及综合岗位，无下属二级机构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南县看守所没有其他二级预算单位，因此，纳入 2019 年部门预算编制范围的只有南县看守所本级。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403.4 万元，其中，一般公共预算财政拨款 388.4万元，上级补助收入 15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403.4 万元，其中，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公共安全支出</w:t>
      </w:r>
      <w:r>
        <w:rPr>
          <w:rFonts w:hint="default" w:ascii="Times New Roman" w:hAnsi="Times New Roman" w:cs="Times New Roman"/>
          <w:sz w:val="32"/>
          <w:szCs w:val="32"/>
        </w:rPr>
        <w:t xml:space="preserve"> 84.2 万元，社会保保障和就业支出 27.49 万元，医疗卫生与计划生育支出 7.46 万元，住房保障支出 14.93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cs="Times New Roman"/>
          <w:sz w:val="32"/>
          <w:szCs w:val="32"/>
        </w:rPr>
        <w:t>收支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较去年预算数增加 39.95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11%，</w:t>
      </w:r>
      <w:r>
        <w:rPr>
          <w:rFonts w:hint="default" w:ascii="Times New Roman" w:hAnsi="Times New Roman" w:cs="Times New Roman"/>
          <w:sz w:val="32"/>
          <w:szCs w:val="32"/>
        </w:rPr>
        <w:t>主要是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一般公共预算财政拨款收入增加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支出较去年预算数增加 39.95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增加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11%，</w:t>
      </w:r>
      <w:r>
        <w:rPr>
          <w:rFonts w:hint="default" w:ascii="Times New Roman" w:hAnsi="Times New Roman" w:cs="Times New Roman"/>
          <w:sz w:val="32"/>
          <w:szCs w:val="32"/>
        </w:rPr>
        <w:t>主要是单位人员工资的增加。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403.4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286.4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117 万元，是指单位为完成特定行政工作任务或事业发展目标而发生的支出，包括有关事业发展专项、专项业务费等。其中：公务接待费 2.25 万元；专项商品和服务支出 114.75 万元，明细为：在押人员给养费 59.75万元，押解费 5 万元，监所医疗专业化建设 8 万元，民兵经费 13 万元，在押人员医药费 6 万元，水电费 7 万元，民警意外伤害保险 1 万元，办案经费 15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63.02</w:t>
      </w:r>
      <w:r>
        <w:rPr>
          <w:rFonts w:hint="default" w:ascii="Times New Roman" w:hAnsi="Times New Roman" w:cs="Times New Roman"/>
          <w:sz w:val="32"/>
          <w:szCs w:val="32"/>
        </w:rPr>
        <w:t xml:space="preserve"> 万元，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2018年预算数46.64万元增加16.38万元，主要是公务用车运行维护费和公务用车补贴列入部门预算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2018 年“三公”经费预算数为 11.25 万元，其中，公务接待费 6.25 万元，公务用车购置及运行费 5 万元，因公出国（境）费 0 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南县南县看守所共有国有资产 126.5 万元。一是房屋数量 2 栋，面积 1008 平方米，价值 45.5 万元；二是办公设备及培训设备数量 21 件，价值 28.07 万元；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年实现了部门支出整体绩效目标覆盖，且 30 万以上的重点专项支出申报了绩效目标。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 费反映单位公务出国（境）的国际旅费、国外城市间交通费、食宿费等支出。</w:t>
      </w:r>
    </w:p>
    <w:sectPr>
      <w:pgSz w:w="11910" w:h="16840"/>
      <w:pgMar w:top="1701" w:right="1531" w:bottom="1701" w:left="1531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42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2020-02-14T11:02:00Z</dcterms:created>
  <dc:creator>someone1370439269</dc:creator>
  <cp:lastModifiedBy>someone1370439269</cp:lastModifiedBy>
  <dcterms:modified xsi:type="dcterms:W3CDTF">2020-02-14T11:21:32Z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2052-11.1.0.9440</vt:lpwstr>
  </property>
</Properties>
</file>