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南县公安局交通警察大队2019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南县公安局交通警察大队是主管全县道路交通安全工作的职能部门，为正科级机构。主要职能职责：执行国家道路交通安全管理的相关法律法规，维护交通秩序，处置交通事故，开展交通安全宣传， 实施公路巡逻， 维护道路治安。对机动车辆牌证审核、驾驶人管理，对交通违法驾驶人处罚，对交通事故施救、电话报警和求助等职责县交警大队现有民警 57 人（其中：全额事业编 4 人），退休人员 18 人，辅警 85 人。总编制为 67 个，其中：行政编 63 个、事业编4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县交警大队内设机构 14 个：分别为综合指导中队、执法监督中队、科技设施中队、车辆管理所、考试中队、事故处理中队、交通巡逻中队、特勤中队、治超中队、一中队、二中队、三中队、四中队、五中队。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交警大队是县公安局下设独立核算的正科级单位，没有其他二级预算单位， 纳入 2019 年部门预算编制范围的只有县交警大队本级。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1650.86 万元，其中：一般公共预算财政拨款 865.86 万元，纳入专户管理的非税收入 700 万元，上级补助收入 85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1650.86 万元，其中：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公共安全支出</w:t>
      </w:r>
      <w:r>
        <w:rPr>
          <w:rFonts w:hint="default" w:ascii="Times New Roman" w:hAnsi="Times New Roman" w:cs="Times New Roman"/>
          <w:sz w:val="32"/>
          <w:szCs w:val="32"/>
        </w:rPr>
        <w:t xml:space="preserve"> 1366.59 万元，社会保保障和就业支出 211.67万元，医疗卫生与计划生育支出 24.20 万元，住房保障支出 48.40万元。支出较去年预算数总额增加 119.38 万元，主要是单位经费（保障经费增加）、工资自然晋级和调整增加，本年度项目支出比上年减少 12 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三） 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较去年预算数总额增加 119.38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7.8%，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较去年预算数总额增加 119.38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7.8%，</w:t>
      </w:r>
      <w:r>
        <w:rPr>
          <w:rFonts w:hint="default" w:ascii="Times New Roman" w:hAnsi="Times New Roman" w:cs="Times New Roman"/>
          <w:sz w:val="32"/>
          <w:szCs w:val="32"/>
        </w:rPr>
        <w:t>主要是单位经费（保障经费增加）、工资自然晋级和调整增加，本年度项目支出比上年减少 12 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1366.59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一） 基本支出： 2019 年初预算数为 1108.59 万元， 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258 万元，是指单位为完成特定行政工作任务或事业发展目标而发生的支出，包括有关事业发展专项、专项业务费等。其中：公务接待费 5.85 万元；专项商品和服务支出 252.15 万元，明细为：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1、专项办案经费 85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2、重点交通违法整治 27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3、交通安全宣传 18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4、电子警察卡扣电费 9.15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5、交通道路设施建设维护 18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6、牌证根本费（非税收入成本）70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7、事故鉴定费 10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8、涉案车辆停靠管理费 15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年县交警大队机关运行经费当年一般公共预算拨款225.48 万元，因在职干警人数没有变化，与 2018 年预算比没有增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年“ 三公” 经费预算数为 61.10 万元， 其中， 公务接待费21.70 万元，公务用车购置及运行费 39.40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年县交警大队没有申报政府采购项目。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县交警大队共有国有资产 1624.07 万元。一是房屋数量 3 栋，面积 5189 平方米，价值 836.40 万元；二是执勤公务车 15 辆，价值138.23 万元； 三是其他固定资产价值 649.44 万元， 包括： 计算机115 套、办公设备、专用设备、空调 143 套等。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年实现了部门支出整体绩效目标覆盖，且 30 万元以上的重点专项支出申报了绩效目标。具体申报绩效评价的项目支出：1、牌证根本费 70 万元；2、专项办案经费 85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 境） 费。其中， 公务接待费反映单位按规定开支的各类公务接待支出；公务用车购置及运行费反映单位公务用车车辆购置支出（ 含车辆购置税）， 以及燃料费、维修费、保险费等支出； 因公出国（境）费反映单位公务出国（境）的国际旅费、国外城市间交通费、食宿费等支出。</w:t>
      </w:r>
    </w:p>
    <w:sectPr>
      <w:footerReference r:id="rId3" w:type="default"/>
      <w:pgSz w:w="11910" w:h="16840"/>
      <w:pgMar w:top="1580" w:right="1240" w:bottom="1060" w:left="1480" w:header="0" w:footer="8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5276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10005060</wp:posOffset>
              </wp:positionV>
              <wp:extent cx="122555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40" w:right="0" w:firstLine="0"/>
                            <w:jc w:val="left"/>
                            <w:rPr>
                              <w:rFonts w:ascii="Segoe U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pt;margin-top:787.8pt;height:15.9pt;width:9.65pt;mso-position-horizontal-relative:page;mso-position-vertical-relative:page;z-index:-251763712;mso-width-relative:page;mso-height-relative:page;" filled="f" stroked="f" coordsize="21600,21600" o:gfxdata="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ff4idwAAAANAQAADwAAAAAA&#10;AAABACAAAAAiAAAAZHJzL2Rvd25yZXYueG1sUEsBAhQAFAAAAAgAh07iQKfvQdSdAQAAIwMAAA4A&#10;AAAAAAAAAQAgAAAAK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40" w:right="0" w:firstLine="0"/>
                      <w:jc w:val="left"/>
                      <w:rPr>
                        <w:rFonts w:ascii="Segoe U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5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73" w:lineRule="exact"/>
      <w:ind w:left="2281" w:right="2369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580" w:lineRule="exact"/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2020-02-14T08:53:00Z</dcterms:created>
  <dc:creator>someone1370439269</dc:creator>
  <cp:lastModifiedBy>someone1370439269</cp:lastModifiedBy>
  <dcterms:modified xsi:type="dcterms:W3CDTF">2020-02-14T09:17:10Z</dcterms:modified>
  <dc:title>南县公安局交通警察大队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