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20" w:lineRule="exact"/>
        <w:jc w:val="both"/>
        <w:rPr>
          <w:rFonts w:hint="default" w:ascii="方正小标宋简体" w:hAnsi="方正小标宋简体" w:eastAsia="方正小标宋简体" w:cs="方正小标宋简体"/>
          <w:color w:val="auto"/>
          <w:sz w:val="36"/>
          <w:szCs w:val="36"/>
          <w:lang w:val="en-US" w:eastAsia="zh-CN"/>
        </w:rPr>
      </w:pPr>
      <w:bookmarkStart w:id="0" w:name="_GoBack"/>
      <w:r>
        <w:rPr>
          <w:rFonts w:hint="eastAsia" w:ascii="方正小标宋简体" w:hAnsi="方正小标宋简体" w:eastAsia="方正小标宋简体" w:cs="方正小标宋简体"/>
          <w:color w:val="auto"/>
          <w:sz w:val="36"/>
          <w:szCs w:val="36"/>
          <w:lang w:val="en-US" w:eastAsia="zh-CN"/>
        </w:rPr>
        <w:t>附件1-3： 南县2024年春季学期城区初中招生范围</w:t>
      </w:r>
    </w:p>
    <w:bookmarkEnd w:id="0"/>
    <w:tbl>
      <w:tblPr>
        <w:tblStyle w:val="7"/>
        <w:tblpPr w:leftFromText="180" w:rightFromText="180" w:vertAnchor="text" w:horzAnchor="page" w:tblpX="1182" w:tblpY="255"/>
        <w:tblOverlap w:val="never"/>
        <w:tblW w:w="10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3"/>
        <w:gridCol w:w="7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293" w:type="dxa"/>
            <w:tcBorders>
              <w:top w:val="single" w:color="auto" w:sz="4" w:space="0"/>
              <w:left w:val="single" w:color="auto" w:sz="4" w:space="0"/>
              <w:bottom w:val="single" w:color="auto" w:sz="4" w:space="0"/>
              <w:right w:val="single" w:color="auto" w:sz="4" w:space="0"/>
            </w:tcBorders>
            <w:noWrap w:val="0"/>
            <w:vAlign w:val="center"/>
          </w:tcPr>
          <w:p>
            <w:pPr>
              <w:spacing w:afterLines="50" w:line="520" w:lineRule="exact"/>
              <w:jc w:val="both"/>
              <w:rPr>
                <w:rFonts w:hint="default" w:ascii="仿宋_GB2312" w:hAnsi="仿宋_GB2312" w:eastAsia="仿宋_GB2312"/>
                <w:color w:val="000000"/>
                <w:sz w:val="24"/>
                <w:szCs w:val="24"/>
                <w:lang w:val="en-US" w:eastAsia="zh-CN"/>
              </w:rPr>
            </w:pPr>
            <w:r>
              <w:rPr>
                <w:rFonts w:hint="eastAsia" w:ascii="方正小标宋简体" w:hAnsi="方正小标宋简体" w:eastAsia="方正小标宋简体" w:cs="方正小标宋简体"/>
                <w:color w:val="auto"/>
                <w:sz w:val="36"/>
                <w:szCs w:val="36"/>
                <w:lang w:val="en-US" w:eastAsia="zh-CN"/>
              </w:rPr>
              <w:t xml:space="preserve">  </w:t>
            </w:r>
            <w:r>
              <w:rPr>
                <w:rFonts w:hint="eastAsia" w:ascii="仿宋_GB2312" w:hAnsi="仿宋_GB2312" w:eastAsia="仿宋_GB2312"/>
                <w:b/>
                <w:bCs/>
                <w:color w:val="000000"/>
                <w:sz w:val="24"/>
                <w:szCs w:val="24"/>
                <w:lang w:val="en-US" w:eastAsia="zh-CN"/>
              </w:rPr>
              <w:t>学校及招生计划</w:t>
            </w:r>
          </w:p>
        </w:tc>
        <w:tc>
          <w:tcPr>
            <w:tcW w:w="77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仿宋_GB2312" w:hAnsi="仿宋_GB2312" w:eastAsia="仿宋_GB2312"/>
                <w:b/>
                <w:bCs/>
                <w:color w:val="000000"/>
              </w:rPr>
            </w:pPr>
            <w:r>
              <w:rPr>
                <w:rFonts w:hint="eastAsia" w:ascii="仿宋_GB2312" w:hAnsi="仿宋_GB2312" w:eastAsia="仿宋_GB2312" w:cs="仿宋_GB2312"/>
                <w:b/>
                <w:bCs/>
                <w:color w:val="000000"/>
              </w:rPr>
              <w:t>招生责任范围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0" w:hRule="atLeast"/>
        </w:trPr>
        <w:tc>
          <w:tcPr>
            <w:tcW w:w="229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_GB2312" w:hAnsi="仿宋_GB2312" w:eastAsia="仿宋_GB2312"/>
                <w:color w:val="000000"/>
                <w:sz w:val="24"/>
                <w:szCs w:val="24"/>
                <w:lang w:val="en-US" w:eastAsia="zh-CN"/>
              </w:rPr>
            </w:pPr>
            <w:r>
              <w:rPr>
                <w:rFonts w:hint="eastAsia" w:ascii="仿宋_GB2312" w:hAnsi="仿宋_GB2312" w:eastAsia="仿宋_GB2312"/>
                <w:color w:val="000000"/>
                <w:sz w:val="24"/>
                <w:szCs w:val="24"/>
                <w:lang w:val="en-US" w:eastAsia="zh-CN"/>
              </w:rPr>
              <w:t>立达中学</w:t>
            </w:r>
          </w:p>
          <w:p>
            <w:pPr>
              <w:spacing w:line="260" w:lineRule="exact"/>
              <w:jc w:val="center"/>
              <w:rPr>
                <w:rFonts w:hint="eastAsia" w:ascii="仿宋_GB2312" w:hAnsi="仿宋_GB2312" w:eastAsia="仿宋_GB2312"/>
                <w:color w:val="000000"/>
                <w:sz w:val="24"/>
                <w:szCs w:val="24"/>
                <w:lang w:val="en-US" w:eastAsia="zh-CN"/>
              </w:rPr>
            </w:pPr>
          </w:p>
        </w:tc>
        <w:tc>
          <w:tcPr>
            <w:tcW w:w="77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b w:val="0"/>
                <w:bCs w:val="0"/>
                <w:color w:val="000000"/>
                <w:kern w:val="2"/>
                <w:sz w:val="24"/>
                <w:szCs w:val="24"/>
                <w:u w:val="none"/>
                <w:lang w:val="en-US" w:eastAsia="zh-CN" w:bidi="ar-SA"/>
              </w:rPr>
            </w:pPr>
            <w:r>
              <w:rPr>
                <w:rFonts w:hint="eastAsia" w:ascii="仿宋_GB2312" w:hAnsi="仿宋_GB2312" w:eastAsia="仿宋_GB2312" w:cs="仿宋_GB2312"/>
                <w:b/>
                <w:bCs/>
                <w:color w:val="000000"/>
                <w:sz w:val="24"/>
                <w:szCs w:val="24"/>
                <w:lang w:val="en-US" w:eastAsia="zh-CN"/>
              </w:rPr>
              <w:t>兴盛东路以北-南华路以东-勒马山路南</w:t>
            </w:r>
            <w:r>
              <w:rPr>
                <w:rFonts w:hint="eastAsia" w:ascii="仿宋_GB2312" w:hAnsi="仿宋_GB2312" w:eastAsia="仿宋_GB2312" w:cs="仿宋_GB2312"/>
                <w:b w:val="0"/>
                <w:bCs w:val="0"/>
                <w:color w:val="000000"/>
                <w:kern w:val="2"/>
                <w:sz w:val="24"/>
                <w:szCs w:val="24"/>
                <w:u w:val="none"/>
                <w:lang w:val="en-US" w:eastAsia="zh-CN" w:bidi="ar-SA"/>
              </w:rPr>
              <w:t>（黄土包，东堤尾，复兴街，永安社区全区域，麒麟阁，东来苑，兴隆大厦，大世界，文卫路，学宫路，和平街以东，沈公堤东街，宝林巷，东红社区4、8、9、13组；滨江花园，江岸明珠，燕山学府，金赋花苑）</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lang w:val="en-US" w:eastAsia="zh-CN"/>
              </w:rPr>
            </w:pPr>
            <w:r>
              <w:rPr>
                <w:rFonts w:hint="eastAsia" w:ascii="仿宋_GB2312" w:hAnsi="仿宋_GB2312" w:eastAsia="仿宋_GB2312" w:cs="仿宋_GB2312"/>
                <w:b/>
                <w:bCs/>
                <w:color w:val="000000"/>
                <w:sz w:val="24"/>
                <w:szCs w:val="24"/>
                <w:highlight w:val="lightGray"/>
                <w:lang w:val="en-US" w:eastAsia="zh-CN"/>
              </w:rPr>
              <w:t>与城西中学交叉区域</w:t>
            </w:r>
            <w:r>
              <w:rPr>
                <w:rFonts w:hint="eastAsia" w:ascii="仿宋_GB2312" w:hAnsi="仿宋_GB2312" w:eastAsia="仿宋_GB2312" w:cs="仿宋_GB2312"/>
                <w:color w:val="000000"/>
                <w:sz w:val="24"/>
                <w:szCs w:val="24"/>
                <w:highlight w:val="lightGray"/>
                <w:lang w:val="en-US" w:eastAsia="zh-CN"/>
              </w:rPr>
              <w:t>：</w:t>
            </w:r>
            <w:r>
              <w:rPr>
                <w:rFonts w:hint="default" w:ascii="Calibri" w:hAnsi="Calibri" w:eastAsia="仿宋_GB2312" w:cs="Calibri"/>
                <w:color w:val="000000"/>
                <w:sz w:val="24"/>
                <w:szCs w:val="24"/>
                <w:highlight w:val="lightGray"/>
                <w:lang w:val="en-US" w:eastAsia="zh-CN"/>
              </w:rPr>
              <w:t>①</w:t>
            </w:r>
            <w:r>
              <w:rPr>
                <w:rFonts w:hint="eastAsia" w:ascii="仿宋_GB2312" w:hAnsi="仿宋_GB2312" w:eastAsia="仿宋_GB2312" w:cs="仿宋_GB2312"/>
                <w:b/>
                <w:bCs/>
                <w:color w:val="000000"/>
                <w:sz w:val="24"/>
                <w:szCs w:val="24"/>
                <w:highlight w:val="lightGray"/>
                <w:lang w:val="en-US" w:eastAsia="zh-CN"/>
              </w:rPr>
              <w:t>兴盛路以北-沿湖路以东-南洲中路以南-南华南路以西</w:t>
            </w:r>
            <w:r>
              <w:rPr>
                <w:rFonts w:hint="eastAsia" w:ascii="仿宋_GB2312" w:hAnsi="仿宋_GB2312" w:eastAsia="仿宋_GB2312" w:cs="仿宋_GB2312"/>
                <w:b w:val="0"/>
                <w:bCs w:val="0"/>
                <w:color w:val="000000"/>
                <w:kern w:val="2"/>
                <w:sz w:val="24"/>
                <w:szCs w:val="24"/>
                <w:highlight w:val="lightGray"/>
                <w:u w:val="none"/>
                <w:lang w:val="en-US" w:eastAsia="zh-CN" w:bidi="ar-SA"/>
              </w:rPr>
              <w:t>（东红社区3、5、6、10、11、12组，宝塔湖社区7、8、10、11、12组；宝塔湖世纪城，中央公园，湖景华府，湖畔花苑，桂花广场，唯一金城，城市广场，宏伟家园，沁园小区，中国移动小区）</w:t>
            </w:r>
            <w:r>
              <w:rPr>
                <w:rFonts w:hint="default" w:ascii="Calibri" w:hAnsi="Calibri" w:eastAsia="仿宋_GB2312" w:cs="Calibri"/>
                <w:b w:val="0"/>
                <w:bCs w:val="0"/>
                <w:color w:val="000000"/>
                <w:kern w:val="2"/>
                <w:sz w:val="24"/>
                <w:szCs w:val="24"/>
                <w:highlight w:val="lightGray"/>
                <w:u w:val="none"/>
                <w:lang w:val="en-US" w:eastAsia="zh-CN" w:bidi="ar-SA"/>
              </w:rPr>
              <w:t>②</w:t>
            </w:r>
            <w:r>
              <w:rPr>
                <w:rFonts w:hint="eastAsia" w:ascii="仿宋_GB2312" w:hAnsi="仿宋_GB2312" w:eastAsia="仿宋_GB2312" w:cs="仿宋_GB2312"/>
                <w:b/>
                <w:bCs/>
                <w:color w:val="000000"/>
                <w:sz w:val="24"/>
                <w:szCs w:val="24"/>
                <w:highlight w:val="lightGray"/>
                <w:lang w:val="en-US" w:eastAsia="zh-CN"/>
              </w:rPr>
              <w:t>南洲东路以北-官正街以西-南华路以东</w:t>
            </w:r>
            <w:r>
              <w:rPr>
                <w:rFonts w:hint="eastAsia" w:ascii="仿宋_GB2312" w:hAnsi="仿宋_GB2312" w:eastAsia="仿宋_GB2312" w:cs="仿宋_GB2312"/>
                <w:b w:val="0"/>
                <w:bCs w:val="0"/>
                <w:color w:val="000000"/>
                <w:kern w:val="2"/>
                <w:sz w:val="24"/>
                <w:szCs w:val="24"/>
                <w:highlight w:val="lightGray"/>
                <w:u w:val="none"/>
                <w:lang w:val="en-US" w:eastAsia="zh-CN" w:bidi="ar-SA"/>
              </w:rPr>
              <w:t>（西河街，老正街，篾货街，赤松亭，东红社区1、2组，官正街以西，和平街以西，东正街，沈公堤西街，建设街，仁里巷，财神巷，宝林巷市场；南洲花苑，泰和鑫苑，邮电小区）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4" w:hRule="atLeast"/>
        </w:trPr>
        <w:tc>
          <w:tcPr>
            <w:tcW w:w="229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_GB2312" w:hAnsi="仿宋_GB2312" w:eastAsia="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实验学校教育集团</w:t>
            </w:r>
            <w:r>
              <w:rPr>
                <w:rFonts w:hint="eastAsia" w:ascii="仿宋_GB2312" w:hAnsi="仿宋_GB2312" w:eastAsia="仿宋_GB2312" w:cs="仿宋_GB2312"/>
                <w:color w:val="000000"/>
                <w:sz w:val="24"/>
                <w:szCs w:val="24"/>
              </w:rPr>
              <w:t>洗马湖</w:t>
            </w:r>
            <w:r>
              <w:rPr>
                <w:rFonts w:hint="eastAsia" w:ascii="仿宋_GB2312" w:hAnsi="仿宋_GB2312" w:eastAsia="仿宋_GB2312" w:cs="仿宋_GB2312"/>
                <w:color w:val="000000"/>
                <w:sz w:val="24"/>
                <w:szCs w:val="24"/>
                <w:lang w:val="en-US" w:eastAsia="zh-CN"/>
              </w:rPr>
              <w:t>校区</w:t>
            </w:r>
          </w:p>
          <w:p>
            <w:pPr>
              <w:spacing w:line="260" w:lineRule="exact"/>
              <w:jc w:val="center"/>
              <w:rPr>
                <w:rFonts w:hint="default" w:ascii="仿宋_GB2312" w:hAnsi="仿宋_GB2312" w:eastAsia="仿宋_GB2312"/>
                <w:color w:val="000000"/>
                <w:sz w:val="24"/>
                <w:szCs w:val="24"/>
                <w:lang w:val="en-US" w:eastAsia="zh-CN"/>
              </w:rPr>
            </w:pPr>
          </w:p>
        </w:tc>
        <w:tc>
          <w:tcPr>
            <w:tcW w:w="7726" w:type="dxa"/>
            <w:tcBorders>
              <w:top w:val="single" w:color="auto" w:sz="4" w:space="0"/>
              <w:left w:val="single" w:color="auto" w:sz="4" w:space="0"/>
              <w:bottom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color w:val="000000"/>
                <w:sz w:val="24"/>
                <w:szCs w:val="24"/>
                <w:u w:val="none"/>
                <w:lang w:val="en-US" w:eastAsia="zh-CN"/>
              </w:rPr>
            </w:pPr>
            <w:r>
              <w:rPr>
                <w:rFonts w:hint="eastAsia" w:ascii="仿宋_GB2312" w:hAnsi="仿宋_GB2312" w:eastAsia="仿宋_GB2312" w:cs="仿宋_GB2312"/>
                <w:b/>
                <w:bCs/>
                <w:color w:val="000000"/>
                <w:kern w:val="2"/>
                <w:sz w:val="24"/>
                <w:szCs w:val="24"/>
                <w:lang w:val="en-US" w:eastAsia="zh-CN" w:bidi="ar-SA"/>
              </w:rPr>
              <w:t>兴盛东路以南-南华南路以东-南洲镇与中鱼口边界以北-三仙湖水库以西</w:t>
            </w:r>
            <w:r>
              <w:rPr>
                <w:rFonts w:hint="eastAsia" w:ascii="仿宋_GB2312" w:hAnsi="仿宋_GB2312" w:eastAsia="仿宋_GB2312" w:cs="仿宋_GB2312"/>
                <w:color w:val="000000"/>
                <w:sz w:val="24"/>
                <w:szCs w:val="24"/>
                <w:u w:val="none"/>
                <w:lang w:val="en-US" w:eastAsia="zh-CN"/>
              </w:rPr>
              <w:t>（洗马湖村3～12组，含原北洋村、大洲村；南洲村〈含已纳入城市规划范围的拆迁村民组，原大建村1组、2组、5-8组、11组、12组，新港村1-4组、6组、9组，双堰村、南山村、白马村、神童村〉，罗文村；汇金国际、宝塔2组安置小区&lt;看守所巷&gt;）</w:t>
            </w:r>
          </w:p>
          <w:p>
            <w:pPr>
              <w:pStyle w:val="2"/>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lang w:val="en-US" w:eastAsia="zh-CN"/>
              </w:rPr>
            </w:pPr>
            <w:r>
              <w:rPr>
                <w:rFonts w:hint="eastAsia" w:ascii="仿宋_GB2312" w:hAnsi="仿宋_GB2312" w:eastAsia="仿宋_GB2312" w:cs="仿宋_GB2312"/>
                <w:b/>
                <w:bCs/>
                <w:color w:val="000000"/>
                <w:kern w:val="2"/>
                <w:sz w:val="24"/>
                <w:szCs w:val="24"/>
                <w:highlight w:val="lightGray"/>
                <w:lang w:val="en-US" w:eastAsia="zh-CN" w:bidi="ar-SA"/>
              </w:rPr>
              <w:t>与桂花园学校交叉区域：</w:t>
            </w:r>
            <w:r>
              <w:rPr>
                <w:rFonts w:hint="eastAsia" w:ascii="仿宋_GB2312" w:hAnsi="仿宋_GB2312" w:eastAsia="仿宋_GB2312" w:cs="仿宋_GB2312"/>
                <w:b/>
                <w:bCs/>
                <w:color w:val="000000"/>
                <w:sz w:val="24"/>
                <w:szCs w:val="24"/>
                <w:highlight w:val="lightGray"/>
                <w:lang w:val="en-US" w:eastAsia="zh-CN"/>
              </w:rPr>
              <w:t>兴盛中路以南-沿湖路以东-桂花园中路以北-南华南路以西</w:t>
            </w:r>
            <w:r>
              <w:rPr>
                <w:rFonts w:hint="eastAsia" w:ascii="仿宋_GB2312" w:hAnsi="仿宋_GB2312" w:eastAsia="仿宋_GB2312" w:cs="仿宋_GB2312"/>
                <w:color w:val="000000"/>
                <w:sz w:val="24"/>
                <w:szCs w:val="24"/>
                <w:highlight w:val="lightGray"/>
                <w:u w:val="none"/>
                <w:lang w:val="en-US" w:eastAsia="zh-CN"/>
              </w:rPr>
              <w:t>（</w:t>
            </w:r>
            <w:r>
              <w:rPr>
                <w:rFonts w:hint="eastAsia" w:ascii="仿宋_GB2312" w:hAnsi="仿宋_GB2312" w:eastAsia="仿宋_GB2312" w:cs="仿宋_GB2312"/>
                <w:color w:val="000000"/>
                <w:kern w:val="2"/>
                <w:sz w:val="24"/>
                <w:szCs w:val="24"/>
                <w:highlight w:val="lightGray"/>
                <w:u w:val="none"/>
                <w:shd w:val="clear" w:color="auto" w:fill="auto"/>
                <w:lang w:val="en-US" w:eastAsia="zh-CN" w:bidi="ar-SA"/>
              </w:rPr>
              <w:t>宝塔湖社区1组、3～8组、10～12组；铜锣湾广场、鸿雁华府、兴盛路建材市场、兴园小区）</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rPr>
      </w:pPr>
    </w:p>
    <w:p>
      <w:pPr>
        <w:pStyle w:val="2"/>
        <w:rPr>
          <w:rFonts w:hint="eastAsia" w:ascii="黑体" w:hAnsi="黑体" w:eastAsia="黑体" w:cs="黑体"/>
          <w:color w:val="000000"/>
        </w:rPr>
      </w:pPr>
    </w:p>
    <w:p>
      <w:pPr>
        <w:rPr>
          <w:rFonts w:hint="eastAsia" w:ascii="黑体" w:hAnsi="黑体" w:eastAsia="黑体" w:cs="黑体"/>
          <w:color w:val="000000"/>
        </w:rPr>
      </w:pPr>
    </w:p>
    <w:p>
      <w:pPr>
        <w:pStyle w:val="2"/>
        <w:rPr>
          <w:rFonts w:hint="eastAsia" w:ascii="黑体" w:hAnsi="黑体" w:eastAsia="黑体" w:cs="黑体"/>
          <w:color w:val="000000"/>
        </w:rPr>
      </w:pPr>
    </w:p>
    <w:p>
      <w:pPr>
        <w:rPr>
          <w:rFonts w:hint="eastAsia" w:ascii="黑体" w:hAnsi="黑体" w:eastAsia="黑体" w:cs="黑体"/>
          <w:color w:val="000000"/>
        </w:rPr>
      </w:pPr>
    </w:p>
    <w:p>
      <w:pPr>
        <w:pStyle w:val="2"/>
        <w:rPr>
          <w:rFonts w:hint="eastAsia" w:ascii="黑体" w:hAnsi="黑体" w:eastAsia="黑体" w:cs="黑体"/>
          <w:color w:val="000000"/>
        </w:rPr>
      </w:pPr>
    </w:p>
    <w:p>
      <w:pPr>
        <w:rPr>
          <w:rFonts w:hint="eastAsia" w:ascii="黑体" w:hAnsi="黑体" w:eastAsia="黑体" w:cs="黑体"/>
          <w:color w:val="000000"/>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color w:val="000000"/>
          <w:sz w:val="44"/>
          <w:szCs w:val="44"/>
        </w:rPr>
      </w:pPr>
      <w:r>
        <w:rPr>
          <w:rFonts w:hint="eastAsia" w:ascii="黑体" w:hAnsi="黑体" w:eastAsia="黑体" w:cs="黑体"/>
          <w:color w:val="000000"/>
        </w:rPr>
        <w:t>附件</w:t>
      </w:r>
      <w:r>
        <w:rPr>
          <w:rFonts w:ascii="黑体" w:hAnsi="黑体" w:eastAsia="黑体" w:cs="黑体"/>
          <w:color w:val="000000"/>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olor w:val="000000"/>
          <w:sz w:val="36"/>
          <w:szCs w:val="36"/>
        </w:rPr>
      </w:pPr>
      <w:r>
        <w:rPr>
          <w:rFonts w:hint="eastAsia" w:ascii="方正小标宋简体" w:hAnsi="方正小标宋简体" w:eastAsia="方正小标宋简体" w:cs="方正小标宋简体"/>
          <w:color w:val="000000"/>
          <w:sz w:val="36"/>
          <w:szCs w:val="36"/>
        </w:rPr>
        <w:t>南县</w:t>
      </w:r>
      <w:r>
        <w:rPr>
          <w:rFonts w:ascii="方正小标宋简体" w:hAnsi="方正小标宋简体" w:eastAsia="方正小标宋简体" w:cs="方正小标宋简体"/>
          <w:color w:val="000000"/>
          <w:sz w:val="36"/>
          <w:szCs w:val="36"/>
        </w:rPr>
        <w:t>202</w:t>
      </w:r>
      <w:r>
        <w:rPr>
          <w:rFonts w:hint="eastAsia" w:ascii="方正小标宋简体" w:hAnsi="方正小标宋简体" w:eastAsia="方正小标宋简体" w:cs="方正小标宋简体"/>
          <w:color w:val="000000"/>
          <w:sz w:val="36"/>
          <w:szCs w:val="36"/>
          <w:lang w:val="en-US" w:eastAsia="zh-CN"/>
        </w:rPr>
        <w:t>4</w:t>
      </w:r>
      <w:r>
        <w:rPr>
          <w:rFonts w:hint="eastAsia" w:ascii="方正小标宋简体" w:hAnsi="方正小标宋简体" w:eastAsia="方正小标宋简体" w:cs="方正小标宋简体"/>
          <w:color w:val="000000"/>
          <w:sz w:val="36"/>
          <w:szCs w:val="36"/>
        </w:rPr>
        <w:t>年</w:t>
      </w:r>
      <w:r>
        <w:rPr>
          <w:rFonts w:hint="eastAsia" w:ascii="方正小标宋简体" w:hAnsi="方正小标宋简体" w:eastAsia="方正小标宋简体" w:cs="方正小标宋简体"/>
          <w:color w:val="000000"/>
          <w:sz w:val="36"/>
          <w:szCs w:val="36"/>
          <w:lang w:val="en-US" w:eastAsia="zh-CN"/>
        </w:rPr>
        <w:t>春季</w:t>
      </w:r>
      <w:r>
        <w:rPr>
          <w:rFonts w:hint="eastAsia" w:ascii="方正小标宋简体" w:hAnsi="方正小标宋简体" w:eastAsia="方正小标宋简体" w:cs="方正小标宋简体"/>
          <w:color w:val="000000"/>
          <w:sz w:val="36"/>
          <w:szCs w:val="36"/>
        </w:rPr>
        <w:t>城区义务教育公办学校</w:t>
      </w:r>
      <w:r>
        <w:rPr>
          <w:rFonts w:hint="eastAsia" w:ascii="方正小标宋简体" w:hAnsi="方正小标宋简体" w:eastAsia="方正小标宋简体" w:cs="方正小标宋简体"/>
          <w:color w:val="000000"/>
          <w:sz w:val="36"/>
          <w:szCs w:val="36"/>
          <w:lang w:val="en-US" w:eastAsia="zh-CN"/>
        </w:rPr>
        <w:t>插班生</w:t>
      </w:r>
      <w:r>
        <w:rPr>
          <w:rFonts w:hint="eastAsia" w:ascii="方正小标宋简体" w:hAnsi="方正小标宋简体" w:eastAsia="方正小标宋简体" w:cs="方正小标宋简体"/>
          <w:color w:val="000000"/>
          <w:sz w:val="36"/>
          <w:szCs w:val="36"/>
        </w:rPr>
        <w:t>入学条件</w:t>
      </w:r>
    </w:p>
    <w:p>
      <w:pPr>
        <w:keepNext w:val="0"/>
        <w:keepLines w:val="0"/>
        <w:pageBreakBefore w:val="0"/>
        <w:widowControl w:val="0"/>
        <w:kinsoku/>
        <w:wordWrap/>
        <w:overflowPunct/>
        <w:topLinePunct w:val="0"/>
        <w:autoSpaceDE/>
        <w:autoSpaceDN/>
        <w:bidi w:val="0"/>
        <w:adjustRightInd/>
        <w:snapToGrid/>
        <w:spacing w:before="234" w:beforeLines="50" w:line="560" w:lineRule="exact"/>
        <w:ind w:firstLine="643" w:firstLineChars="200"/>
        <w:textAlignment w:val="auto"/>
        <w:rPr>
          <w:rFonts w:ascii="楷体_GB2312" w:hAnsi="楷体_GB2312" w:eastAsia="楷体_GB2312"/>
          <w:b/>
          <w:bCs/>
          <w:color w:val="000000"/>
        </w:rPr>
      </w:pPr>
      <w:r>
        <w:rPr>
          <w:rFonts w:hint="eastAsia" w:ascii="楷体_GB2312" w:hAnsi="楷体_GB2312" w:eastAsia="楷体_GB2312" w:cs="楷体_GB2312"/>
          <w:b/>
          <w:bCs/>
          <w:color w:val="000000"/>
          <w:kern w:val="0"/>
        </w:rPr>
        <w:t>一、在招生入学平台申请学位，家长需拍照上传的</w:t>
      </w:r>
      <w:r>
        <w:rPr>
          <w:rFonts w:hint="eastAsia" w:ascii="楷体_GB2312" w:hAnsi="楷体_GB2312" w:eastAsia="楷体_GB2312" w:cs="楷体_GB2312"/>
          <w:b/>
          <w:bCs/>
          <w:color w:val="000000"/>
          <w:kern w:val="0"/>
          <w:lang w:val="en-US" w:eastAsia="zh-CN"/>
        </w:rPr>
        <w:t>图片</w:t>
      </w:r>
      <w:r>
        <w:rPr>
          <w:rFonts w:hint="eastAsia" w:ascii="楷体_GB2312" w:hAnsi="楷体_GB2312" w:eastAsia="楷体_GB2312" w:cs="楷体_GB2312"/>
          <w:b/>
          <w:bCs/>
          <w:color w:val="000000"/>
          <w:kern w:val="0"/>
        </w:rPr>
        <w:t>资料</w:t>
      </w:r>
    </w:p>
    <w:p>
      <w:pPr>
        <w:spacing w:line="560" w:lineRule="exact"/>
        <w:ind w:firstLine="643" w:firstLineChars="200"/>
        <w:rPr>
          <w:rFonts w:ascii="仿宋_GB2312" w:hAnsi="仿宋_GB2312" w:eastAsia="仿宋_GB2312" w:cs="仿宋_GB2312"/>
          <w:color w:val="000000"/>
          <w:spacing w:val="-6"/>
        </w:rPr>
      </w:pPr>
      <w:r>
        <w:rPr>
          <w:rFonts w:ascii="仿宋_GB2312" w:hAnsi="仿宋_GB2312" w:eastAsia="仿宋_GB2312" w:cs="仿宋_GB2312"/>
          <w:b/>
          <w:bCs/>
          <w:color w:val="000000"/>
        </w:rPr>
        <w:t>——</w:t>
      </w:r>
      <w:r>
        <w:rPr>
          <w:rFonts w:hint="eastAsia" w:ascii="仿宋_GB2312" w:hAnsi="仿宋_GB2312" w:eastAsia="仿宋_GB2312" w:cs="仿宋_GB2312"/>
          <w:b/>
          <w:bCs/>
          <w:color w:val="000000"/>
        </w:rPr>
        <w:t>有户有房：</w:t>
      </w:r>
      <w:r>
        <w:rPr>
          <w:rFonts w:hint="eastAsia" w:ascii="仿宋_GB2312" w:hAnsi="仿宋_GB2312" w:eastAsia="仿宋_GB2312" w:cs="仿宋_GB2312"/>
          <w:color w:val="000000"/>
          <w:spacing w:val="-6"/>
          <w:u w:val="single"/>
        </w:rPr>
        <w:t>户口簿</w:t>
      </w:r>
      <w:r>
        <w:rPr>
          <w:rFonts w:hint="eastAsia" w:ascii="仿宋_GB2312" w:hAnsi="仿宋_GB2312" w:eastAsia="仿宋_GB2312" w:cs="仿宋_GB2312"/>
          <w:color w:val="000000"/>
          <w:spacing w:val="-6"/>
          <w:u w:val="single"/>
          <w:lang w:eastAsia="zh-CN"/>
        </w:rPr>
        <w:t>、</w:t>
      </w:r>
      <w:r>
        <w:rPr>
          <w:rFonts w:hint="eastAsia" w:ascii="仿宋_GB2312" w:hAnsi="仿宋_GB2312" w:eastAsia="仿宋_GB2312" w:cs="仿宋_GB2312"/>
          <w:color w:val="000000"/>
          <w:spacing w:val="-6"/>
          <w:u w:val="single"/>
        </w:rPr>
        <w:t>房产证（不动产证）</w:t>
      </w:r>
      <w:r>
        <w:rPr>
          <w:rFonts w:hint="eastAsia" w:ascii="仿宋_GB2312" w:hAnsi="仿宋_GB2312" w:eastAsia="仿宋_GB2312" w:cs="仿宋_GB2312"/>
          <w:color w:val="000000"/>
          <w:spacing w:val="-6"/>
        </w:rPr>
        <w:t>或</w:t>
      </w:r>
      <w:r>
        <w:rPr>
          <w:rFonts w:hint="eastAsia" w:ascii="仿宋_GB2312" w:hAnsi="仿宋_GB2312" w:eastAsia="仿宋_GB2312" w:cs="仿宋_GB2312"/>
          <w:color w:val="000000"/>
          <w:spacing w:val="-6"/>
          <w:u w:val="single"/>
        </w:rPr>
        <w:t>房屋预售合同</w:t>
      </w:r>
      <w:r>
        <w:rPr>
          <w:rFonts w:ascii="仿宋_GB2312" w:hAnsi="仿宋_GB2312" w:eastAsia="仿宋_GB2312" w:cs="仿宋_GB2312"/>
          <w:color w:val="000000"/>
          <w:spacing w:val="-6"/>
          <w:u w:val="single"/>
        </w:rPr>
        <w:t>+</w:t>
      </w:r>
      <w:r>
        <w:rPr>
          <w:rFonts w:hint="eastAsia" w:ascii="仿宋_GB2312" w:hAnsi="仿宋_GB2312" w:eastAsia="仿宋_GB2312" w:cs="仿宋_GB2312"/>
          <w:color w:val="000000"/>
          <w:spacing w:val="-6"/>
          <w:u w:val="single"/>
        </w:rPr>
        <w:t>契税、房屋维修基金机打缴费凭证</w:t>
      </w:r>
    </w:p>
    <w:p>
      <w:pPr>
        <w:spacing w:line="560" w:lineRule="exact"/>
        <w:ind w:firstLine="643" w:firstLineChars="200"/>
        <w:rPr>
          <w:rFonts w:ascii="仿宋_GB2312" w:hAnsi="仿宋_GB2312" w:eastAsia="仿宋_GB2312" w:cs="仿宋_GB2312"/>
          <w:color w:val="000000"/>
          <w:spacing w:val="-6"/>
        </w:rPr>
      </w:pPr>
      <w:r>
        <w:rPr>
          <w:rFonts w:ascii="仿宋_GB2312" w:hAnsi="仿宋_GB2312" w:eastAsia="仿宋_GB2312" w:cs="仿宋_GB2312"/>
          <w:b/>
          <w:bCs/>
          <w:color w:val="000000"/>
          <w:kern w:val="0"/>
        </w:rPr>
        <w:t>——</w:t>
      </w:r>
      <w:r>
        <w:rPr>
          <w:rFonts w:hint="eastAsia" w:ascii="仿宋_GB2312" w:hAnsi="仿宋_GB2312" w:eastAsia="仿宋_GB2312" w:cs="仿宋_GB2312"/>
          <w:b/>
          <w:bCs/>
          <w:color w:val="000000"/>
          <w:kern w:val="0"/>
        </w:rPr>
        <w:t>有户无房：</w:t>
      </w:r>
      <w:r>
        <w:rPr>
          <w:rFonts w:hint="eastAsia" w:ascii="仿宋_GB2312" w:hAnsi="仿宋_GB2312" w:eastAsia="仿宋_GB2312" w:cs="仿宋_GB2312"/>
          <w:color w:val="000000"/>
          <w:kern w:val="0"/>
        </w:rPr>
        <w:t>户口簿</w:t>
      </w:r>
    </w:p>
    <w:p>
      <w:pPr>
        <w:spacing w:line="560" w:lineRule="exact"/>
        <w:ind w:firstLine="643" w:firstLineChars="200"/>
        <w:rPr>
          <w:rFonts w:hint="eastAsia" w:ascii="仿宋_GB2312" w:hAnsi="仿宋_GB2312" w:eastAsia="仿宋_GB2312" w:cs="仿宋_GB2312"/>
          <w:color w:val="000000"/>
          <w:spacing w:val="-6"/>
        </w:rPr>
      </w:pPr>
      <w:r>
        <w:rPr>
          <w:rFonts w:ascii="仿宋_GB2312" w:hAnsi="仿宋_GB2312" w:eastAsia="仿宋_GB2312" w:cs="仿宋_GB2312"/>
          <w:b/>
          <w:bCs/>
          <w:color w:val="000000"/>
        </w:rPr>
        <w:t>——</w:t>
      </w:r>
      <w:r>
        <w:rPr>
          <w:rFonts w:hint="eastAsia" w:ascii="仿宋_GB2312" w:hAnsi="仿宋_GB2312" w:eastAsia="仿宋_GB2312" w:cs="仿宋_GB2312"/>
          <w:b/>
          <w:bCs/>
          <w:color w:val="000000"/>
        </w:rPr>
        <w:t>有房无户：</w:t>
      </w:r>
      <w:r>
        <w:rPr>
          <w:rFonts w:hint="eastAsia" w:ascii="仿宋_GB2312" w:hAnsi="仿宋_GB2312" w:eastAsia="仿宋_GB2312" w:cs="仿宋_GB2312"/>
          <w:color w:val="000000"/>
          <w:spacing w:val="-6"/>
          <w:u w:val="single"/>
        </w:rPr>
        <w:t>户口簿</w:t>
      </w:r>
      <w:r>
        <w:rPr>
          <w:rFonts w:hint="eastAsia" w:ascii="仿宋_GB2312" w:hAnsi="仿宋_GB2312" w:eastAsia="仿宋_GB2312" w:cs="仿宋_GB2312"/>
          <w:color w:val="000000"/>
          <w:spacing w:val="-6"/>
          <w:u w:val="single"/>
          <w:lang w:eastAsia="zh-CN"/>
        </w:rPr>
        <w:t>、</w:t>
      </w:r>
      <w:r>
        <w:rPr>
          <w:rFonts w:hint="eastAsia" w:ascii="仿宋_GB2312" w:hAnsi="仿宋_GB2312" w:eastAsia="仿宋_GB2312" w:cs="仿宋_GB2312"/>
          <w:color w:val="000000"/>
          <w:spacing w:val="-6"/>
          <w:u w:val="single"/>
        </w:rPr>
        <w:t>房产证（不动产证）</w:t>
      </w:r>
      <w:r>
        <w:rPr>
          <w:rFonts w:hint="eastAsia" w:ascii="仿宋_GB2312" w:hAnsi="仿宋_GB2312" w:eastAsia="仿宋_GB2312" w:cs="仿宋_GB2312"/>
          <w:color w:val="000000"/>
          <w:spacing w:val="-6"/>
          <w:u w:val="none"/>
          <w:lang w:val="en-US" w:eastAsia="zh-CN"/>
        </w:rPr>
        <w:t xml:space="preserve"> </w:t>
      </w:r>
      <w:r>
        <w:rPr>
          <w:rFonts w:hint="eastAsia" w:ascii="仿宋_GB2312" w:hAnsi="仿宋_GB2312" w:eastAsia="仿宋_GB2312" w:cs="仿宋_GB2312"/>
          <w:color w:val="000000"/>
          <w:spacing w:val="-6"/>
        </w:rPr>
        <w:t>或</w:t>
      </w:r>
      <w:r>
        <w:rPr>
          <w:rFonts w:hint="eastAsia" w:ascii="仿宋_GB2312" w:hAnsi="仿宋_GB2312" w:eastAsia="仿宋_GB2312" w:cs="仿宋_GB2312"/>
          <w:color w:val="000000"/>
          <w:spacing w:val="-6"/>
          <w:lang w:val="en-US" w:eastAsia="zh-CN"/>
        </w:rPr>
        <w:t xml:space="preserve"> </w:t>
      </w:r>
      <w:r>
        <w:rPr>
          <w:rFonts w:hint="eastAsia" w:ascii="仿宋_GB2312" w:hAnsi="仿宋_GB2312" w:eastAsia="仿宋_GB2312" w:cs="仿宋_GB2312"/>
          <w:color w:val="000000"/>
          <w:spacing w:val="-6"/>
          <w:u w:val="single"/>
        </w:rPr>
        <w:t>购房合同</w:t>
      </w:r>
      <w:r>
        <w:rPr>
          <w:rFonts w:ascii="仿宋_GB2312" w:hAnsi="仿宋_GB2312" w:eastAsia="仿宋_GB2312" w:cs="仿宋_GB2312"/>
          <w:color w:val="000000"/>
          <w:spacing w:val="-6"/>
          <w:u w:val="single"/>
        </w:rPr>
        <w:t>+</w:t>
      </w:r>
      <w:r>
        <w:rPr>
          <w:rFonts w:hint="eastAsia" w:ascii="仿宋_GB2312" w:hAnsi="仿宋_GB2312" w:eastAsia="仿宋_GB2312" w:cs="仿宋_GB2312"/>
          <w:color w:val="000000"/>
          <w:spacing w:val="-6"/>
          <w:u w:val="single"/>
        </w:rPr>
        <w:t>契税、房屋维修基金机打缴费凭证</w:t>
      </w:r>
      <w:r>
        <w:rPr>
          <w:rFonts w:hint="eastAsia" w:ascii="仿宋_GB2312" w:hAnsi="仿宋_GB2312" w:eastAsia="仿宋_GB2312" w:cs="仿宋_GB2312"/>
          <w:color w:val="000000"/>
          <w:spacing w:val="-6"/>
          <w:u w:val="none"/>
          <w:lang w:val="en-US" w:eastAsia="zh-CN"/>
        </w:rPr>
        <w:t xml:space="preserve"> </w:t>
      </w:r>
      <w:r>
        <w:rPr>
          <w:rFonts w:hint="eastAsia" w:ascii="仿宋_GB2312" w:hAnsi="仿宋_GB2312" w:eastAsia="仿宋_GB2312" w:cs="仿宋_GB2312"/>
          <w:color w:val="000000"/>
          <w:spacing w:val="-6"/>
        </w:rPr>
        <w:t>或</w:t>
      </w:r>
      <w:r>
        <w:rPr>
          <w:rFonts w:hint="eastAsia" w:ascii="仿宋_GB2312" w:hAnsi="仿宋_GB2312" w:eastAsia="仿宋_GB2312" w:cs="仿宋_GB2312"/>
          <w:color w:val="000000"/>
          <w:spacing w:val="-6"/>
          <w:lang w:val="en-US" w:eastAsia="zh-CN"/>
        </w:rPr>
        <w:t xml:space="preserve"> </w:t>
      </w:r>
      <w:r>
        <w:rPr>
          <w:rFonts w:hint="eastAsia" w:ascii="仿宋_GB2312" w:hAnsi="仿宋_GB2312" w:eastAsia="仿宋_GB2312" w:cs="仿宋_GB2312"/>
          <w:color w:val="000000"/>
          <w:spacing w:val="-6"/>
          <w:u w:val="single"/>
        </w:rPr>
        <w:t>小产权房资料（土地使用证</w:t>
      </w:r>
      <w:r>
        <w:rPr>
          <w:rFonts w:ascii="仿宋_GB2312" w:hAnsi="仿宋_GB2312" w:eastAsia="仿宋_GB2312" w:cs="仿宋_GB2312"/>
          <w:color w:val="000000"/>
          <w:spacing w:val="-6"/>
          <w:u w:val="single"/>
        </w:rPr>
        <w:t>+</w:t>
      </w:r>
      <w:r>
        <w:rPr>
          <w:rFonts w:hint="eastAsia" w:ascii="仿宋_GB2312" w:hAnsi="仿宋_GB2312" w:eastAsia="仿宋_GB2312" w:cs="仿宋_GB2312"/>
          <w:color w:val="000000"/>
          <w:spacing w:val="-6"/>
          <w:u w:val="single"/>
        </w:rPr>
        <w:t>购房合同</w:t>
      </w:r>
      <w:r>
        <w:rPr>
          <w:rFonts w:ascii="仿宋_GB2312" w:hAnsi="仿宋_GB2312" w:eastAsia="仿宋_GB2312" w:cs="仿宋_GB2312"/>
          <w:color w:val="000000"/>
          <w:spacing w:val="-6"/>
          <w:u w:val="single"/>
        </w:rPr>
        <w:t>+</w:t>
      </w:r>
      <w:r>
        <w:rPr>
          <w:rFonts w:hint="eastAsia" w:ascii="仿宋_GB2312" w:hAnsi="仿宋_GB2312" w:eastAsia="仿宋_GB2312" w:cs="仿宋_GB2312"/>
          <w:color w:val="000000"/>
          <w:spacing w:val="-6"/>
          <w:u w:val="single"/>
        </w:rPr>
        <w:t>水、电、燃气费缴费凭证）</w:t>
      </w:r>
    </w:p>
    <w:p>
      <w:pPr>
        <w:numPr>
          <w:ilvl w:val="0"/>
          <w:numId w:val="0"/>
        </w:numPr>
        <w:spacing w:line="560" w:lineRule="exact"/>
        <w:ind w:firstLine="643" w:firstLineChars="200"/>
        <w:rPr>
          <w:rFonts w:hint="eastAsia" w:ascii="仿宋_GB2312" w:hAnsi="仿宋_GB2312" w:eastAsia="仿宋_GB2312" w:cs="仿宋_GB2312"/>
          <w:color w:val="000000"/>
          <w:spacing w:val="-6"/>
          <w:lang w:eastAsia="zh-CN"/>
        </w:rPr>
      </w:pPr>
      <w:r>
        <w:rPr>
          <w:rFonts w:ascii="仿宋_GB2312" w:hAnsi="仿宋_GB2312" w:eastAsia="仿宋_GB2312" w:cs="仿宋_GB2312"/>
          <w:b/>
          <w:bCs/>
          <w:color w:val="000000"/>
        </w:rPr>
        <w:t>——</w:t>
      </w:r>
      <w:r>
        <w:rPr>
          <w:rFonts w:hint="eastAsia" w:ascii="仿宋_GB2312" w:hAnsi="仿宋_GB2312" w:eastAsia="仿宋_GB2312" w:cs="仿宋_GB2312"/>
          <w:b/>
          <w:bCs/>
          <w:color w:val="000000"/>
        </w:rPr>
        <w:t>其他类：</w:t>
      </w:r>
      <w:r>
        <w:rPr>
          <w:rFonts w:hint="eastAsia" w:ascii="仿宋_GB2312" w:hAnsi="仿宋_GB2312" w:eastAsia="仿宋_GB2312" w:cs="仿宋_GB2312"/>
          <w:color w:val="000000"/>
          <w:spacing w:val="-6"/>
        </w:rPr>
        <w:t>（</w:t>
      </w:r>
      <w:r>
        <w:rPr>
          <w:rFonts w:ascii="仿宋_GB2312" w:hAnsi="仿宋_GB2312" w:eastAsia="仿宋_GB2312" w:cs="仿宋_GB2312"/>
          <w:color w:val="000000"/>
          <w:spacing w:val="-6"/>
        </w:rPr>
        <w:t>1</w:t>
      </w:r>
      <w:r>
        <w:rPr>
          <w:rFonts w:hint="eastAsia" w:ascii="仿宋_GB2312" w:hAnsi="仿宋_GB2312" w:eastAsia="仿宋_GB2312" w:cs="仿宋_GB2312"/>
          <w:color w:val="000000"/>
          <w:spacing w:val="-6"/>
        </w:rPr>
        <w:t>）现役军人子女入学，提交相关证明材料和户口簿（</w:t>
      </w:r>
      <w:r>
        <w:rPr>
          <w:rFonts w:ascii="仿宋_GB2312" w:hAnsi="仿宋_GB2312" w:eastAsia="仿宋_GB2312" w:cs="仿宋_GB2312"/>
          <w:color w:val="000000"/>
          <w:spacing w:val="-6"/>
        </w:rPr>
        <w:t>2</w:t>
      </w:r>
      <w:r>
        <w:rPr>
          <w:rFonts w:hint="eastAsia" w:ascii="仿宋_GB2312" w:hAnsi="仿宋_GB2312" w:eastAsia="仿宋_GB2312" w:cs="仿宋_GB2312"/>
          <w:color w:val="000000"/>
          <w:spacing w:val="-6"/>
        </w:rPr>
        <w:t>）因父母工作调动的随迁子女入学，提交南洲城区党政机关或事业单位的调动证明、工资与社保转移关系和户口簿、租房合同（</w:t>
      </w:r>
      <w:r>
        <w:rPr>
          <w:rFonts w:ascii="仿宋_GB2312" w:hAnsi="仿宋_GB2312" w:eastAsia="仿宋_GB2312" w:cs="仿宋_GB2312"/>
          <w:color w:val="000000"/>
          <w:spacing w:val="-6"/>
        </w:rPr>
        <w:t>3</w:t>
      </w:r>
      <w:r>
        <w:rPr>
          <w:rFonts w:hint="eastAsia" w:ascii="仿宋_GB2312" w:hAnsi="仿宋_GB2312" w:eastAsia="仿宋_GB2312" w:cs="仿宋_GB2312"/>
          <w:color w:val="000000"/>
          <w:spacing w:val="-6"/>
        </w:rPr>
        <w:t>）具备《南县人才引进激励办法（试行）》（南发〔</w:t>
      </w:r>
      <w:r>
        <w:rPr>
          <w:rFonts w:ascii="仿宋_GB2312" w:hAnsi="仿宋_GB2312" w:eastAsia="仿宋_GB2312" w:cs="仿宋_GB2312"/>
          <w:color w:val="000000"/>
          <w:spacing w:val="-6"/>
        </w:rPr>
        <w:t>2017</w:t>
      </w:r>
      <w:r>
        <w:rPr>
          <w:rFonts w:hint="eastAsia" w:ascii="仿宋_GB2312" w:hAnsi="仿宋_GB2312" w:eastAsia="仿宋_GB2312" w:cs="仿宋_GB2312"/>
          <w:color w:val="000000"/>
          <w:spacing w:val="-6"/>
        </w:rPr>
        <w:t>〕</w:t>
      </w:r>
      <w:r>
        <w:rPr>
          <w:rFonts w:ascii="仿宋_GB2312" w:hAnsi="仿宋_GB2312" w:eastAsia="仿宋_GB2312" w:cs="仿宋_GB2312"/>
          <w:color w:val="000000"/>
          <w:spacing w:val="-6"/>
        </w:rPr>
        <w:t>4</w:t>
      </w:r>
      <w:r>
        <w:rPr>
          <w:rFonts w:hint="eastAsia" w:ascii="仿宋_GB2312" w:hAnsi="仿宋_GB2312" w:eastAsia="仿宋_GB2312" w:cs="仿宋_GB2312"/>
          <w:color w:val="000000"/>
          <w:spacing w:val="-6"/>
        </w:rPr>
        <w:t>号）入学支持条件的，提交相关证明材料和户口簿</w:t>
      </w:r>
      <w:r>
        <w:rPr>
          <w:rFonts w:hint="eastAsia" w:ascii="仿宋_GB2312" w:hAnsi="仿宋_GB2312" w:eastAsia="仿宋_GB2312" w:cs="仿宋_GB2312"/>
          <w:color w:val="000000"/>
          <w:spacing w:val="-6"/>
          <w:lang w:eastAsia="zh-CN"/>
        </w:rPr>
        <w:t>。</w:t>
      </w:r>
    </w:p>
    <w:p>
      <w:pPr>
        <w:spacing w:line="600" w:lineRule="exact"/>
        <w:rPr>
          <w:rFonts w:hint="eastAsia" w:ascii="仿宋_GB2312" w:hAnsi="仿宋_GB2312" w:eastAsia="仿宋_GB2312" w:cs="仿宋_GB2312"/>
          <w:b w:val="0"/>
          <w:bCs w:val="0"/>
          <w:color w:val="auto"/>
          <w:spacing w:val="-6"/>
          <w:sz w:val="30"/>
          <w:szCs w:val="30"/>
          <w:lang w:val="en-US" w:eastAsia="zh-CN"/>
        </w:rPr>
      </w:pPr>
      <w:r>
        <w:rPr>
          <w:rFonts w:hint="eastAsia" w:ascii="仿宋_GB2312" w:hAnsi="仿宋_GB2312" w:eastAsia="仿宋_GB2312" w:cs="仿宋_GB2312"/>
          <w:b/>
          <w:bCs/>
          <w:color w:val="000000"/>
          <w:spacing w:val="-6"/>
        </w:rPr>
        <w:t>说明：</w:t>
      </w:r>
      <w:r>
        <w:rPr>
          <w:rFonts w:hint="eastAsia" w:ascii="仿宋_GB2312" w:hAnsi="仿宋_GB2312" w:eastAsia="仿宋_GB2312" w:cs="仿宋_GB2312"/>
          <w:b w:val="0"/>
          <w:bCs w:val="0"/>
          <w:color w:val="000000"/>
          <w:spacing w:val="-6"/>
          <w:sz w:val="30"/>
          <w:szCs w:val="30"/>
          <w:lang w:val="en-US" w:eastAsia="zh-CN"/>
        </w:rPr>
        <w:t>1、</w:t>
      </w:r>
      <w:r>
        <w:rPr>
          <w:rFonts w:hint="eastAsia" w:ascii="仿宋_GB2312" w:hAnsi="仿宋_GB2312" w:eastAsia="仿宋_GB2312" w:cs="仿宋_GB2312"/>
          <w:b w:val="0"/>
          <w:bCs w:val="0"/>
          <w:color w:val="auto"/>
          <w:spacing w:val="-6"/>
          <w:sz w:val="30"/>
          <w:szCs w:val="30"/>
        </w:rPr>
        <w:t>务工</w:t>
      </w:r>
      <w:r>
        <w:rPr>
          <w:rFonts w:hint="eastAsia" w:ascii="仿宋_GB2312" w:hAnsi="仿宋_GB2312" w:eastAsia="仿宋_GB2312" w:cs="仿宋_GB2312"/>
          <w:b w:val="0"/>
          <w:bCs w:val="0"/>
          <w:color w:val="auto"/>
          <w:spacing w:val="-6"/>
          <w:sz w:val="30"/>
          <w:szCs w:val="30"/>
          <w:lang w:val="en-US" w:eastAsia="zh-CN"/>
        </w:rPr>
        <w:t>类、</w:t>
      </w:r>
      <w:r>
        <w:rPr>
          <w:rFonts w:hint="eastAsia" w:ascii="仿宋_GB2312" w:hAnsi="仿宋_GB2312" w:eastAsia="仿宋_GB2312" w:cs="仿宋_GB2312"/>
          <w:b w:val="0"/>
          <w:bCs w:val="0"/>
          <w:color w:val="auto"/>
          <w:spacing w:val="-6"/>
          <w:sz w:val="30"/>
          <w:szCs w:val="30"/>
        </w:rPr>
        <w:t>经商</w:t>
      </w:r>
      <w:r>
        <w:rPr>
          <w:rFonts w:hint="eastAsia" w:ascii="仿宋_GB2312" w:hAnsi="仿宋_GB2312" w:eastAsia="仿宋_GB2312" w:cs="仿宋_GB2312"/>
          <w:b w:val="0"/>
          <w:bCs w:val="0"/>
          <w:color w:val="auto"/>
          <w:spacing w:val="-6"/>
          <w:sz w:val="30"/>
          <w:szCs w:val="30"/>
          <w:lang w:val="en-US" w:eastAsia="zh-CN"/>
        </w:rPr>
        <w:t>类</w:t>
      </w:r>
      <w:r>
        <w:rPr>
          <w:rFonts w:hint="eastAsia" w:ascii="仿宋_GB2312" w:hAnsi="仿宋_GB2312" w:eastAsia="仿宋_GB2312" w:cs="仿宋_GB2312"/>
          <w:b w:val="0"/>
          <w:bCs w:val="0"/>
          <w:color w:val="auto"/>
          <w:spacing w:val="-6"/>
          <w:sz w:val="30"/>
          <w:szCs w:val="30"/>
        </w:rPr>
        <w:t>的</w:t>
      </w:r>
      <w:r>
        <w:rPr>
          <w:rFonts w:hint="eastAsia" w:ascii="仿宋_GB2312" w:hAnsi="仿宋_GB2312" w:eastAsia="仿宋_GB2312" w:cs="仿宋_GB2312"/>
          <w:b w:val="0"/>
          <w:bCs w:val="0"/>
          <w:color w:val="auto"/>
          <w:spacing w:val="-6"/>
          <w:sz w:val="30"/>
          <w:szCs w:val="30"/>
          <w:lang w:val="en-US" w:eastAsia="zh-CN"/>
        </w:rPr>
        <w:t>入学</w:t>
      </w:r>
      <w:r>
        <w:rPr>
          <w:rFonts w:hint="eastAsia" w:ascii="仿宋_GB2312" w:hAnsi="仿宋_GB2312" w:eastAsia="仿宋_GB2312" w:cs="仿宋_GB2312"/>
          <w:b w:val="0"/>
          <w:bCs w:val="0"/>
          <w:color w:val="auto"/>
          <w:spacing w:val="-6"/>
          <w:sz w:val="30"/>
          <w:szCs w:val="30"/>
        </w:rPr>
        <w:t>都</w:t>
      </w:r>
      <w:r>
        <w:rPr>
          <w:rFonts w:hint="eastAsia" w:ascii="仿宋_GB2312" w:hAnsi="仿宋_GB2312" w:eastAsia="仿宋_GB2312" w:cs="仿宋_GB2312"/>
          <w:b w:val="0"/>
          <w:bCs w:val="0"/>
          <w:color w:val="auto"/>
          <w:spacing w:val="-6"/>
          <w:sz w:val="30"/>
          <w:szCs w:val="30"/>
          <w:lang w:val="en-US" w:eastAsia="zh-CN"/>
        </w:rPr>
        <w:t>安排</w:t>
      </w:r>
      <w:r>
        <w:rPr>
          <w:rFonts w:hint="eastAsia" w:ascii="仿宋_GB2312" w:hAnsi="仿宋_GB2312" w:eastAsia="仿宋_GB2312" w:cs="仿宋_GB2312"/>
          <w:b w:val="0"/>
          <w:bCs w:val="0"/>
          <w:color w:val="auto"/>
          <w:spacing w:val="-6"/>
          <w:sz w:val="30"/>
          <w:szCs w:val="30"/>
        </w:rPr>
        <w:t>在秋季，春季</w:t>
      </w:r>
      <w:r>
        <w:rPr>
          <w:rFonts w:hint="eastAsia" w:ascii="仿宋_GB2312" w:hAnsi="仿宋_GB2312" w:eastAsia="仿宋_GB2312" w:cs="仿宋_GB2312"/>
          <w:b w:val="0"/>
          <w:bCs w:val="0"/>
          <w:color w:val="auto"/>
          <w:spacing w:val="-6"/>
          <w:sz w:val="30"/>
          <w:szCs w:val="30"/>
          <w:lang w:val="en-US" w:eastAsia="zh-CN"/>
        </w:rPr>
        <w:t>插班不予接收；</w:t>
      </w:r>
    </w:p>
    <w:p>
      <w:pPr>
        <w:pStyle w:val="2"/>
        <w:numPr>
          <w:ilvl w:val="0"/>
          <w:numId w:val="1"/>
        </w:numPr>
        <w:ind w:left="1260" w:leftChars="300" w:hanging="300" w:hangingChars="100"/>
        <w:rPr>
          <w:rFonts w:hint="eastAsia" w:ascii="仿宋_GB2312" w:hAnsi="仿宋_GB2312" w:eastAsia="仿宋_GB2312" w:cs="仿宋_GB2312"/>
          <w:b w:val="0"/>
          <w:bCs w:val="0"/>
          <w:color w:val="auto"/>
          <w:spacing w:val="-6"/>
          <w:kern w:val="2"/>
          <w:sz w:val="30"/>
          <w:szCs w:val="30"/>
          <w:lang w:val="en-US" w:eastAsia="zh-CN" w:bidi="ar-SA"/>
        </w:rPr>
      </w:pPr>
      <w:r>
        <w:rPr>
          <w:rFonts w:hint="eastAsia" w:ascii="仿宋_GB2312" w:hAnsi="仿宋_GB2312" w:eastAsia="仿宋_GB2312" w:cs="仿宋_GB2312"/>
          <w:b w:val="0"/>
          <w:bCs w:val="0"/>
          <w:color w:val="auto"/>
          <w:sz w:val="30"/>
          <w:szCs w:val="30"/>
          <w:lang w:eastAsia="zh-CN"/>
        </w:rPr>
        <w:t>户籍、房</w:t>
      </w:r>
      <w:r>
        <w:rPr>
          <w:rFonts w:hint="eastAsia" w:ascii="仿宋_GB2312" w:hAnsi="仿宋_GB2312" w:eastAsia="仿宋_GB2312" w:cs="仿宋_GB2312"/>
          <w:b w:val="0"/>
          <w:bCs w:val="0"/>
          <w:color w:val="auto"/>
          <w:spacing w:val="-6"/>
          <w:kern w:val="2"/>
          <w:sz w:val="30"/>
          <w:szCs w:val="30"/>
          <w:lang w:val="en-US" w:eastAsia="zh-CN" w:bidi="ar-SA"/>
        </w:rPr>
        <w:t>产：“户籍类”和“房产类”的证明材料必须满足半年时限要求，即在2023年9月1日前取得。</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234" w:beforeLines="50"/>
        <w:ind w:leftChars="200"/>
        <w:textAlignment w:val="auto"/>
        <w:rPr>
          <w:rFonts w:hint="default" w:ascii="楷体_GB2312" w:hAnsi="楷体_GB2312" w:eastAsia="楷体_GB2312"/>
          <w:b/>
          <w:bCs/>
          <w:color w:val="000000"/>
          <w:kern w:val="0"/>
          <w:lang w:val="en-US" w:eastAsia="zh-CN"/>
        </w:rPr>
      </w:pPr>
      <w:r>
        <w:rPr>
          <w:rFonts w:hint="eastAsia" w:ascii="楷体_GB2312" w:hAnsi="楷体_GB2312" w:eastAsia="楷体_GB2312" w:cs="楷体_GB2312"/>
          <w:b/>
          <w:bCs/>
          <w:color w:val="000000"/>
          <w:kern w:val="0"/>
        </w:rPr>
        <w:t>二、</w:t>
      </w:r>
      <w:r>
        <w:rPr>
          <w:rFonts w:hint="eastAsia" w:ascii="楷体_GB2312" w:hAnsi="楷体_GB2312" w:eastAsia="楷体_GB2312" w:cs="楷体_GB2312"/>
          <w:b/>
          <w:bCs/>
          <w:color w:val="000000"/>
          <w:kern w:val="0"/>
          <w:lang w:val="en-US" w:eastAsia="zh-CN"/>
        </w:rPr>
        <w:t>转学插班注意事项</w:t>
      </w:r>
    </w:p>
    <w:p>
      <w:pPr>
        <w:spacing w:line="600" w:lineRule="exact"/>
        <w:ind w:firstLine="616" w:firstLineChars="200"/>
        <w:rPr>
          <w:rFonts w:hint="eastAsia" w:ascii="仿宋_GB2312" w:hAnsi="仿宋_GB2312" w:eastAsia="仿宋_GB2312" w:cs="仿宋_GB2312"/>
          <w:color w:val="auto"/>
          <w:spacing w:val="-6"/>
          <w:lang w:val="en-US" w:eastAsia="zh-CN"/>
        </w:rPr>
      </w:pPr>
      <w:r>
        <w:rPr>
          <w:rFonts w:hint="eastAsia" w:ascii="仿宋_GB2312" w:hAnsi="仿宋_GB2312" w:eastAsia="仿宋_GB2312" w:cs="仿宋_GB2312"/>
          <w:color w:val="auto"/>
          <w:spacing w:val="-6"/>
          <w:lang w:val="en-US" w:eastAsia="zh-CN"/>
        </w:rPr>
        <w:t>1、</w:t>
      </w:r>
      <w:r>
        <w:rPr>
          <w:rFonts w:hint="eastAsia" w:ascii="仿宋_GB2312" w:hAnsi="仿宋_GB2312" w:eastAsia="仿宋_GB2312" w:cs="仿宋_GB2312"/>
          <w:color w:val="auto"/>
          <w:spacing w:val="-6"/>
          <w:lang w:eastAsia="zh-CN"/>
        </w:rPr>
        <w:t>当年</w:t>
      </w:r>
      <w:r>
        <w:rPr>
          <w:rFonts w:hint="eastAsia" w:ascii="仿宋_GB2312" w:hAnsi="仿宋_GB2312" w:eastAsia="仿宋_GB2312" w:cs="仿宋_GB2312"/>
          <w:color w:val="auto"/>
          <w:spacing w:val="-6"/>
          <w:lang w:val="en-US" w:eastAsia="zh-CN"/>
        </w:rPr>
        <w:t>8月31日</w:t>
      </w:r>
      <w:r>
        <w:rPr>
          <w:rFonts w:hint="eastAsia" w:ascii="仿宋_GB2312" w:hAnsi="仿宋_GB2312" w:eastAsia="仿宋_GB2312" w:cs="仿宋_GB2312"/>
          <w:color w:val="auto"/>
          <w:spacing w:val="-6"/>
          <w:lang w:eastAsia="zh-CN"/>
        </w:rPr>
        <w:t>入学未满</w:t>
      </w:r>
      <w:r>
        <w:rPr>
          <w:rFonts w:hint="eastAsia" w:ascii="仿宋_GB2312" w:hAnsi="仿宋_GB2312" w:eastAsia="仿宋_GB2312" w:cs="仿宋_GB2312"/>
          <w:color w:val="auto"/>
          <w:spacing w:val="-6"/>
          <w:lang w:val="en-US" w:eastAsia="zh-CN"/>
        </w:rPr>
        <w:t>6周岁的学生（即低龄生），不得转入实验集团本部、德昌集团本部、五小集团本部、洗马湖学校（小学部）、南洲三完小、桂花园学校（小学部）等没有放宽年龄的学校就读；</w:t>
      </w:r>
    </w:p>
    <w:p>
      <w:pPr>
        <w:spacing w:line="600" w:lineRule="exact"/>
        <w:ind w:firstLine="616" w:firstLineChars="200"/>
        <w:rPr>
          <w:rFonts w:hint="default" w:ascii="仿宋_GB2312" w:hAnsi="仿宋_GB2312" w:eastAsia="仿宋_GB2312" w:cs="仿宋_GB2312"/>
          <w:color w:val="auto"/>
          <w:spacing w:val="-6"/>
          <w:lang w:val="en-US" w:eastAsia="zh-CN"/>
        </w:rPr>
      </w:pPr>
      <w:r>
        <w:rPr>
          <w:rFonts w:hint="eastAsia" w:ascii="仿宋_GB2312" w:hAnsi="仿宋_GB2312" w:eastAsia="仿宋_GB2312" w:cs="仿宋_GB2312"/>
          <w:color w:val="auto"/>
          <w:spacing w:val="-6"/>
          <w:lang w:val="en-US" w:eastAsia="zh-CN"/>
        </w:rPr>
        <w:t>2、</w:t>
      </w:r>
      <w:r>
        <w:rPr>
          <w:rFonts w:hint="default" w:ascii="仿宋_GB2312" w:hAnsi="仿宋_GB2312" w:eastAsia="仿宋_GB2312" w:cs="仿宋_GB2312"/>
          <w:color w:val="auto"/>
          <w:spacing w:val="-6"/>
          <w:lang w:val="en-US" w:eastAsia="zh-CN"/>
        </w:rPr>
        <w:t>根据《湖南省中小学学籍管理办法》湘教发〔2015〕8号文件规定，毕业年级最后一个学期不得转学，2024年春季城区六年级和九年级均不接收插班生；</w:t>
      </w:r>
    </w:p>
    <w:p>
      <w:pPr>
        <w:spacing w:line="600" w:lineRule="exact"/>
        <w:ind w:firstLine="616" w:firstLineChars="200"/>
        <w:rPr>
          <w:rFonts w:hint="eastAsia" w:ascii="仿宋_GB2312" w:hAnsi="仿宋_GB2312" w:eastAsia="仿宋_GB2312" w:cs="仿宋_GB2312"/>
          <w:color w:val="auto"/>
          <w:spacing w:val="-6"/>
          <w:lang w:val="en-US" w:eastAsia="zh-CN"/>
        </w:rPr>
      </w:pPr>
      <w:r>
        <w:rPr>
          <w:rFonts w:hint="eastAsia" w:ascii="仿宋_GB2312" w:hAnsi="仿宋_GB2312" w:eastAsia="仿宋_GB2312" w:cs="仿宋_GB2312"/>
          <w:color w:val="auto"/>
          <w:spacing w:val="-6"/>
          <w:lang w:val="en-US" w:eastAsia="zh-CN"/>
        </w:rPr>
        <w:t>3、根据《湖南省规范民办义务教育发展实施方案》湘办〔2021〕34号文件规定，为控制民办学校义务教育阶段学生占比，2024年春季南县湖心学校一年级到九年级均不接收插班生；</w:t>
      </w:r>
    </w:p>
    <w:p>
      <w:pPr>
        <w:spacing w:line="600" w:lineRule="exact"/>
        <w:ind w:firstLine="616" w:firstLineChars="200"/>
        <w:rPr>
          <w:rFonts w:hint="eastAsia" w:ascii="仿宋_GB2312" w:hAnsi="仿宋_GB2312" w:eastAsia="仿宋_GB2312" w:cs="仿宋_GB2312"/>
          <w:color w:val="auto"/>
          <w:spacing w:val="-6"/>
          <w:lang w:val="en-US" w:eastAsia="zh-CN"/>
        </w:rPr>
      </w:pPr>
      <w:r>
        <w:rPr>
          <w:rFonts w:hint="eastAsia" w:ascii="仿宋_GB2312" w:hAnsi="仿宋_GB2312" w:eastAsia="仿宋_GB2312" w:cs="仿宋_GB2312"/>
          <w:color w:val="auto"/>
          <w:spacing w:val="-6"/>
          <w:lang w:val="en-US" w:eastAsia="zh-CN"/>
        </w:rPr>
        <w:t>4、洗马湖小学四年级五年级、德昌本部五年级、五小本部一年级二年级、桂花园初中部七年级八年级和城西中学七年级八年级均无剩余学位，若有家长申请且材料符合要求，则将调剂到他校就读。</w:t>
      </w:r>
    </w:p>
    <w:p>
      <w:pPr>
        <w:keepNext w:val="0"/>
        <w:keepLines w:val="0"/>
        <w:pageBreakBefore w:val="0"/>
        <w:widowControl w:val="0"/>
        <w:kinsoku/>
        <w:wordWrap/>
        <w:overflowPunct/>
        <w:topLinePunct w:val="0"/>
        <w:autoSpaceDE/>
        <w:autoSpaceDN/>
        <w:bidi w:val="0"/>
        <w:adjustRightInd/>
        <w:snapToGrid/>
        <w:spacing w:before="234" w:beforeLines="50" w:line="600" w:lineRule="exact"/>
        <w:ind w:firstLine="643" w:firstLineChars="200"/>
        <w:textAlignment w:val="auto"/>
        <w:rPr>
          <w:rFonts w:hint="default" w:ascii="楷体_GB2312" w:hAnsi="楷体_GB2312" w:eastAsia="楷体_GB2312" w:cs="楷体_GB2312"/>
          <w:b/>
          <w:bCs/>
          <w:color w:val="000000"/>
          <w:kern w:val="0"/>
          <w:lang w:val="en-US" w:eastAsia="zh-CN"/>
        </w:rPr>
      </w:pPr>
      <w:r>
        <w:rPr>
          <w:rFonts w:hint="eastAsia" w:ascii="楷体_GB2312" w:hAnsi="楷体_GB2312" w:eastAsia="楷体_GB2312" w:cs="楷体_GB2312"/>
          <w:b/>
          <w:bCs/>
          <w:color w:val="000000"/>
          <w:kern w:val="0"/>
          <w:lang w:val="en-US" w:eastAsia="zh-CN"/>
        </w:rPr>
        <w:t>三、申报途径及咨询方式</w:t>
      </w:r>
    </w:p>
    <w:p>
      <w:pPr>
        <w:keepNext w:val="0"/>
        <w:keepLines w:val="0"/>
        <w:pageBreakBefore w:val="0"/>
        <w:widowControl w:val="0"/>
        <w:kinsoku/>
        <w:wordWrap/>
        <w:overflowPunct/>
        <w:topLinePunct w:val="0"/>
        <w:autoSpaceDE/>
        <w:autoSpaceDN/>
        <w:bidi w:val="0"/>
        <w:adjustRightInd/>
        <w:snapToGrid/>
        <w:spacing w:after="234" w:afterLines="50" w:line="560" w:lineRule="exact"/>
        <w:ind w:firstLine="616" w:firstLineChars="200"/>
        <w:textAlignment w:val="auto"/>
        <w:rPr>
          <w:rFonts w:hint="eastAsia" w:ascii="仿宋_GB2312" w:hAnsi="仿宋_GB2312" w:eastAsia="仿宋_GB2312" w:cs="仿宋_GB2312"/>
          <w:color w:val="000000"/>
          <w:spacing w:val="-6"/>
          <w:lang w:val="en-US" w:eastAsia="zh-CN"/>
        </w:rPr>
      </w:pPr>
      <w:r>
        <w:rPr>
          <w:rFonts w:hint="eastAsia" w:ascii="仿宋_GB2312" w:hAnsi="仿宋_GB2312" w:eastAsia="仿宋_GB2312" w:cs="仿宋_GB2312"/>
          <w:color w:val="000000"/>
          <w:spacing w:val="-6"/>
          <w:lang w:val="en-US" w:eastAsia="zh-CN"/>
        </w:rPr>
        <w:t>1、搜索并关注“</w:t>
      </w:r>
      <w:r>
        <w:rPr>
          <w:rFonts w:hint="eastAsia" w:ascii="仿宋_GB2312" w:hAnsi="仿宋_GB2312" w:eastAsia="仿宋_GB2312" w:cs="仿宋_GB2312"/>
          <w:b/>
          <w:bCs/>
          <w:color w:val="000000"/>
          <w:spacing w:val="-6"/>
          <w:lang w:val="en-US" w:eastAsia="zh-CN"/>
        </w:rPr>
        <w:t>南县教育新闻</w:t>
      </w:r>
      <w:r>
        <w:rPr>
          <w:rFonts w:hint="eastAsia" w:ascii="仿宋_GB2312" w:hAnsi="仿宋_GB2312" w:eastAsia="仿宋_GB2312" w:cs="仿宋_GB2312"/>
          <w:color w:val="000000"/>
          <w:spacing w:val="-6"/>
          <w:lang w:val="en-US" w:eastAsia="zh-CN"/>
        </w:rPr>
        <w:t>”微信公众号，点击“</w:t>
      </w:r>
      <w:r>
        <w:rPr>
          <w:rFonts w:hint="eastAsia" w:ascii="仿宋_GB2312" w:hAnsi="仿宋_GB2312" w:eastAsia="仿宋_GB2312" w:cs="仿宋_GB2312"/>
          <w:b/>
          <w:bCs/>
          <w:color w:val="000000"/>
          <w:spacing w:val="-6"/>
          <w:lang w:val="en-US" w:eastAsia="zh-CN"/>
        </w:rPr>
        <w:t>招生入学</w:t>
      </w:r>
      <w:r>
        <w:rPr>
          <w:rFonts w:hint="eastAsia" w:ascii="仿宋_GB2312" w:hAnsi="仿宋_GB2312" w:eastAsia="仿宋_GB2312" w:cs="仿宋_GB2312"/>
          <w:color w:val="000000"/>
          <w:spacing w:val="-6"/>
          <w:lang w:val="en-US" w:eastAsia="zh-CN"/>
        </w:rPr>
        <w:t>”菜单，点击“</w:t>
      </w:r>
      <w:r>
        <w:rPr>
          <w:rFonts w:hint="eastAsia" w:ascii="仿宋_GB2312" w:hAnsi="仿宋_GB2312" w:eastAsia="仿宋_GB2312" w:cs="仿宋_GB2312"/>
          <w:b/>
          <w:bCs/>
          <w:color w:val="000000"/>
          <w:spacing w:val="-6"/>
          <w:lang w:val="en-US" w:eastAsia="zh-CN"/>
        </w:rPr>
        <w:t>招生文件</w:t>
      </w:r>
      <w:r>
        <w:rPr>
          <w:rFonts w:hint="eastAsia" w:ascii="仿宋_GB2312" w:hAnsi="仿宋_GB2312" w:eastAsia="仿宋_GB2312" w:cs="仿宋_GB2312"/>
          <w:color w:val="000000"/>
          <w:spacing w:val="-6"/>
          <w:lang w:val="en-US" w:eastAsia="zh-CN"/>
        </w:rPr>
        <w:t>”链接可了解招生入学相关政策及文件，点击“</w:t>
      </w:r>
      <w:r>
        <w:rPr>
          <w:rFonts w:hint="eastAsia" w:ascii="仿宋_GB2312" w:hAnsi="仿宋_GB2312" w:eastAsia="仿宋_GB2312" w:cs="仿宋_GB2312"/>
          <w:b/>
          <w:bCs/>
          <w:color w:val="000000"/>
          <w:spacing w:val="-6"/>
          <w:lang w:val="en-US" w:eastAsia="zh-CN"/>
        </w:rPr>
        <w:t>入学平台</w:t>
      </w:r>
      <w:r>
        <w:rPr>
          <w:rFonts w:hint="eastAsia" w:ascii="仿宋_GB2312" w:hAnsi="仿宋_GB2312" w:eastAsia="仿宋_GB2312" w:cs="仿宋_GB2312"/>
          <w:color w:val="000000"/>
          <w:spacing w:val="-6"/>
          <w:lang w:val="en-US" w:eastAsia="zh-CN"/>
        </w:rPr>
        <w:t>”链接可调出招生入学微信小程序。</w:t>
      </w:r>
    </w:p>
    <w:p>
      <w:pPr>
        <w:pStyle w:val="2"/>
        <w:rPr>
          <w:rFonts w:hint="eastAsia"/>
          <w:lang w:val="en-US" w:eastAsia="zh-CN"/>
        </w:rPr>
      </w:pPr>
      <w:r>
        <w:rPr>
          <w:rFonts w:hint="eastAsia" w:eastAsia="长城仿宋体"/>
          <w:lang w:eastAsia="zh-CN"/>
        </w:rPr>
        <w:drawing>
          <wp:anchor distT="0" distB="0" distL="114300" distR="114300" simplePos="0" relativeHeight="251660288" behindDoc="0" locked="0" layoutInCell="1" allowOverlap="1">
            <wp:simplePos x="0" y="0"/>
            <wp:positionH relativeFrom="column">
              <wp:posOffset>2926715</wp:posOffset>
            </wp:positionH>
            <wp:positionV relativeFrom="paragraph">
              <wp:posOffset>33655</wp:posOffset>
            </wp:positionV>
            <wp:extent cx="3049270" cy="2508250"/>
            <wp:effectExtent l="9525" t="9525" r="27305" b="15875"/>
            <wp:wrapNone/>
            <wp:docPr id="11" name="图片 4" descr="d8a7c3d721857e3a5e42bed414286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d8a7c3d721857e3a5e42bed4142860e"/>
                    <pic:cNvPicPr>
                      <a:picLocks noChangeAspect="1"/>
                    </pic:cNvPicPr>
                  </pic:nvPicPr>
                  <pic:blipFill>
                    <a:blip r:embed="rId6"/>
                    <a:srcRect t="7471" b="7172"/>
                    <a:stretch>
                      <a:fillRect/>
                    </a:stretch>
                  </pic:blipFill>
                  <pic:spPr>
                    <a:xfrm>
                      <a:off x="0" y="0"/>
                      <a:ext cx="3049270" cy="2508250"/>
                    </a:xfrm>
                    <a:prstGeom prst="rect">
                      <a:avLst/>
                    </a:prstGeom>
                    <a:noFill/>
                    <a:ln w="9525" cap="flat" cmpd="sng">
                      <a:solidFill>
                        <a:srgbClr val="FFFFFF"/>
                      </a:solidFill>
                      <a:prstDash val="solid"/>
                      <a:miter/>
                      <a:headEnd type="none" w="med" len="med"/>
                      <a:tailEnd type="none" w="med" len="med"/>
                    </a:ln>
                  </pic:spPr>
                </pic:pic>
              </a:graphicData>
            </a:graphic>
          </wp:anchor>
        </w:drawing>
      </w:r>
    </w:p>
    <w:p>
      <w:pPr>
        <w:spacing w:line="560" w:lineRule="exact"/>
        <w:ind w:firstLine="616" w:firstLineChars="200"/>
        <w:rPr>
          <w:rFonts w:hint="eastAsia" w:ascii="仿宋_GB2312" w:hAnsi="仿宋_GB2312" w:eastAsia="仿宋_GB2312" w:cs="仿宋_GB2312"/>
          <w:color w:val="000000"/>
          <w:spacing w:val="-6"/>
          <w:lang w:val="en-US" w:eastAsia="zh-CN"/>
        </w:rPr>
      </w:pPr>
    </w:p>
    <w:p>
      <w:pPr>
        <w:spacing w:line="560" w:lineRule="exact"/>
        <w:ind w:firstLine="616" w:firstLineChars="200"/>
        <w:rPr>
          <w:rFonts w:hint="eastAsia" w:ascii="仿宋_GB2312" w:hAnsi="仿宋_GB2312" w:eastAsia="仿宋_GB2312" w:cs="仿宋_GB2312"/>
          <w:color w:val="000000"/>
          <w:spacing w:val="-6"/>
          <w:lang w:val="en-US" w:eastAsia="zh-CN"/>
        </w:rPr>
      </w:pPr>
      <w:r>
        <w:rPr>
          <w:rFonts w:hint="eastAsia" w:ascii="仿宋_GB2312" w:hAnsi="仿宋_GB2312" w:eastAsia="仿宋_GB2312" w:cs="仿宋_GB2312"/>
          <w:color w:val="000000"/>
          <w:spacing w:val="-6"/>
          <w:lang w:val="en-US" w:eastAsia="zh-CN"/>
        </w:rPr>
        <w:drawing>
          <wp:anchor distT="0" distB="0" distL="114300" distR="114300" simplePos="0" relativeHeight="251661312" behindDoc="0" locked="0" layoutInCell="1" allowOverlap="1">
            <wp:simplePos x="0" y="0"/>
            <wp:positionH relativeFrom="column">
              <wp:posOffset>-176530</wp:posOffset>
            </wp:positionH>
            <wp:positionV relativeFrom="paragraph">
              <wp:posOffset>234950</wp:posOffset>
            </wp:positionV>
            <wp:extent cx="3012440" cy="1153160"/>
            <wp:effectExtent l="9525" t="9525" r="26035" b="18415"/>
            <wp:wrapNone/>
            <wp:docPr id="10" name="图片 5" descr="168189439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1681894398800"/>
                    <pic:cNvPicPr>
                      <a:picLocks noChangeAspect="1"/>
                    </pic:cNvPicPr>
                  </pic:nvPicPr>
                  <pic:blipFill>
                    <a:blip r:embed="rId7"/>
                    <a:srcRect l="15170" t="17665" r="24367" b="12466"/>
                    <a:stretch>
                      <a:fillRect/>
                    </a:stretch>
                  </pic:blipFill>
                  <pic:spPr>
                    <a:xfrm>
                      <a:off x="0" y="0"/>
                      <a:ext cx="3012440" cy="1153160"/>
                    </a:xfrm>
                    <a:prstGeom prst="rect">
                      <a:avLst/>
                    </a:prstGeom>
                    <a:noFill/>
                    <a:ln w="9525" cap="flat" cmpd="sng">
                      <a:solidFill>
                        <a:srgbClr val="000000"/>
                      </a:solidFill>
                      <a:prstDash val="solid"/>
                      <a:miter/>
                      <a:headEnd type="none" w="med" len="med"/>
                      <a:tailEnd type="none" w="med" len="med"/>
                    </a:ln>
                  </pic:spPr>
                </pic:pic>
              </a:graphicData>
            </a:graphic>
          </wp:anchor>
        </w:drawing>
      </w:r>
    </w:p>
    <w:p>
      <w:pPr>
        <w:spacing w:line="560" w:lineRule="exact"/>
        <w:ind w:firstLine="616" w:firstLineChars="200"/>
        <w:rPr>
          <w:rFonts w:hint="eastAsia" w:ascii="仿宋_GB2312" w:hAnsi="仿宋_GB2312" w:eastAsia="仿宋_GB2312" w:cs="仿宋_GB2312"/>
          <w:color w:val="000000"/>
          <w:spacing w:val="-6"/>
          <w:lang w:val="en-US" w:eastAsia="zh-CN"/>
        </w:rPr>
      </w:pPr>
    </w:p>
    <w:p>
      <w:pPr>
        <w:spacing w:line="560" w:lineRule="exact"/>
        <w:ind w:firstLine="616" w:firstLineChars="200"/>
        <w:rPr>
          <w:rFonts w:hint="eastAsia" w:ascii="仿宋_GB2312" w:hAnsi="仿宋_GB2312" w:eastAsia="仿宋_GB2312" w:cs="仿宋_GB2312"/>
          <w:color w:val="000000"/>
          <w:spacing w:val="-6"/>
          <w:lang w:val="en-US" w:eastAsia="zh-CN"/>
        </w:rPr>
      </w:pPr>
    </w:p>
    <w:p>
      <w:pPr>
        <w:spacing w:line="560" w:lineRule="exact"/>
        <w:ind w:firstLine="616" w:firstLineChars="200"/>
        <w:rPr>
          <w:rFonts w:hint="eastAsia" w:ascii="仿宋_GB2312" w:hAnsi="仿宋_GB2312" w:eastAsia="仿宋_GB2312" w:cs="仿宋_GB2312"/>
          <w:color w:val="000000"/>
          <w:spacing w:val="-6"/>
          <w:lang w:val="en-US" w:eastAsia="zh-CN"/>
        </w:rPr>
      </w:pPr>
    </w:p>
    <w:p>
      <w:pPr>
        <w:spacing w:line="560" w:lineRule="exact"/>
        <w:ind w:firstLine="616" w:firstLineChars="200"/>
        <w:rPr>
          <w:rFonts w:hint="eastAsia" w:ascii="仿宋_GB2312" w:hAnsi="仿宋_GB2312" w:eastAsia="仿宋_GB2312" w:cs="仿宋_GB2312"/>
          <w:color w:val="000000"/>
          <w:spacing w:val="-6"/>
          <w:lang w:val="en-US" w:eastAsia="zh-CN"/>
        </w:rPr>
      </w:pPr>
    </w:p>
    <w:p>
      <w:pPr>
        <w:spacing w:line="560" w:lineRule="exact"/>
        <w:ind w:firstLine="616" w:firstLineChars="200"/>
        <w:rPr>
          <w:rFonts w:hint="eastAsia" w:ascii="仿宋_GB2312" w:hAnsi="仿宋_GB2312" w:eastAsia="仿宋_GB2312" w:cs="仿宋_GB2312"/>
          <w:color w:val="000000"/>
          <w:spacing w:val="-6"/>
          <w:lang w:val="en-US" w:eastAsia="zh-CN"/>
        </w:rPr>
      </w:pPr>
    </w:p>
    <w:p>
      <w:pPr>
        <w:pStyle w:val="2"/>
        <w:rPr>
          <w:rFonts w:hint="eastAsia" w:ascii="仿宋_GB2312" w:hAnsi="仿宋_GB2312" w:eastAsia="仿宋_GB2312" w:cs="Times New Roman"/>
          <w:b/>
          <w:bCs/>
          <w:color w:val="000000"/>
          <w:kern w:val="2"/>
          <w:sz w:val="24"/>
          <w:szCs w:val="24"/>
          <w:lang w:val="en-US" w:eastAsia="zh-CN" w:bidi="ar-SA"/>
        </w:rPr>
      </w:pPr>
      <w:r>
        <w:rPr>
          <w:rFonts w:hint="eastAsia"/>
          <w:lang w:val="en-US" w:eastAsia="zh-CN"/>
        </w:rPr>
        <w:t xml:space="preserve">                  </w:t>
      </w:r>
      <w:r>
        <w:rPr>
          <w:rFonts w:hint="eastAsia" w:ascii="仿宋_GB2312" w:hAnsi="仿宋_GB2312" w:eastAsia="仿宋_GB2312" w:cs="Times New Roman"/>
          <w:b/>
          <w:bCs/>
          <w:color w:val="000000"/>
          <w:kern w:val="2"/>
          <w:sz w:val="24"/>
          <w:szCs w:val="24"/>
          <w:lang w:val="en-US" w:eastAsia="zh-CN" w:bidi="ar-SA"/>
        </w:rPr>
        <w:t>“南县教育新闻”微信公众号</w:t>
      </w:r>
    </w:p>
    <w:p>
      <w:pPr>
        <w:rPr>
          <w:rFonts w:hint="default"/>
          <w:lang w:val="en-US" w:eastAsia="zh-CN"/>
        </w:rPr>
      </w:pPr>
    </w:p>
    <w:p>
      <w:pPr>
        <w:numPr>
          <w:ilvl w:val="0"/>
          <w:numId w:val="2"/>
        </w:numPr>
        <w:spacing w:line="560" w:lineRule="exact"/>
        <w:ind w:firstLine="616" w:firstLineChars="200"/>
        <w:rPr>
          <w:rFonts w:hint="eastAsia" w:ascii="仿宋_GB2312" w:hAnsi="仿宋_GB2312" w:eastAsia="仿宋_GB2312" w:cs="仿宋_GB2312"/>
          <w:color w:val="000000"/>
          <w:spacing w:val="-6"/>
          <w:lang w:val="en-US" w:eastAsia="zh-CN"/>
        </w:rPr>
      </w:pPr>
      <w:r>
        <w:rPr>
          <w:rFonts w:hint="eastAsia" w:ascii="仿宋_GB2312" w:hAnsi="仿宋_GB2312" w:eastAsia="仿宋_GB2312" w:cs="仿宋_GB2312"/>
          <w:color w:val="000000"/>
          <w:spacing w:val="-6"/>
          <w:lang w:val="en-US" w:eastAsia="zh-CN"/>
        </w:rPr>
        <w:t>扫描微信小程序，家长参照入学条件后上传相应图片材料，并申请对应区域内学校学位。</w:t>
      </w:r>
    </w:p>
    <w:p>
      <w:pPr>
        <w:pStyle w:val="2"/>
        <w:numPr>
          <w:ilvl w:val="0"/>
          <w:numId w:val="0"/>
        </w:numPr>
        <w:rPr>
          <w:rFonts w:hint="default"/>
          <w:lang w:val="en-US" w:eastAsia="zh-CN"/>
        </w:rPr>
      </w:pPr>
      <w:r>
        <w:rPr>
          <w:rFonts w:hint="eastAsia"/>
          <w:color w:val="000000"/>
        </w:rPr>
        <w:drawing>
          <wp:anchor distT="0" distB="0" distL="114300" distR="114300" simplePos="0" relativeHeight="251662336" behindDoc="0" locked="0" layoutInCell="1" allowOverlap="1">
            <wp:simplePos x="0" y="0"/>
            <wp:positionH relativeFrom="column">
              <wp:posOffset>1587500</wp:posOffset>
            </wp:positionH>
            <wp:positionV relativeFrom="paragraph">
              <wp:posOffset>115570</wp:posOffset>
            </wp:positionV>
            <wp:extent cx="2293620" cy="2293620"/>
            <wp:effectExtent l="9525" t="9525" r="20955" b="20955"/>
            <wp:wrapNone/>
            <wp:docPr id="9" name="图片 1" descr="f209ec51139e38e5bebf8fac3409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f209ec51139e38e5bebf8fac3409376"/>
                    <pic:cNvPicPr>
                      <a:picLocks noChangeAspect="1"/>
                    </pic:cNvPicPr>
                  </pic:nvPicPr>
                  <pic:blipFill>
                    <a:blip r:embed="rId8"/>
                    <a:stretch>
                      <a:fillRect/>
                    </a:stretch>
                  </pic:blipFill>
                  <pic:spPr>
                    <a:xfrm>
                      <a:off x="0" y="0"/>
                      <a:ext cx="2293620" cy="2293620"/>
                    </a:xfrm>
                    <a:prstGeom prst="rect">
                      <a:avLst/>
                    </a:prstGeom>
                    <a:noFill/>
                    <a:ln w="9525" cap="flat" cmpd="sng">
                      <a:solidFill>
                        <a:srgbClr val="000000"/>
                      </a:solidFill>
                      <a:prstDash val="solid"/>
                      <a:miter/>
                      <a:headEnd type="none" w="med" len="med"/>
                      <a:tailEnd type="none" w="med" len="med"/>
                    </a:ln>
                  </pic:spPr>
                </pic:pic>
              </a:graphicData>
            </a:graphic>
          </wp:anchor>
        </w:drawing>
      </w: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pStyle w:val="4"/>
        <w:jc w:val="center"/>
        <w:rPr>
          <w:color w:val="000000"/>
        </w:rPr>
      </w:pPr>
      <w:r>
        <w:rPr>
          <w:color w:val="000000"/>
        </w:rPr>
        <w:t xml:space="preserve">                     </w:t>
      </w:r>
    </w:p>
    <w:p>
      <w:pPr>
        <w:spacing w:line="480" w:lineRule="exact"/>
        <w:ind w:firstLine="3373" w:firstLineChars="1400"/>
        <w:jc w:val="left"/>
        <w:rPr>
          <w:rFonts w:ascii="仿宋_GB2312" w:hAnsi="仿宋_GB2312" w:eastAsia="仿宋_GB2312"/>
          <w:b/>
          <w:bCs/>
          <w:color w:val="000000"/>
          <w:sz w:val="24"/>
          <w:szCs w:val="24"/>
        </w:rPr>
      </w:pPr>
      <w:r>
        <w:rPr>
          <w:rFonts w:hint="eastAsia" w:ascii="仿宋_GB2312" w:hAnsi="仿宋_GB2312" w:eastAsia="仿宋_GB2312"/>
          <w:b/>
          <w:bCs/>
          <w:color w:val="000000"/>
          <w:sz w:val="24"/>
          <w:szCs w:val="24"/>
          <w:lang w:eastAsia="zh-CN"/>
        </w:rPr>
        <w:t>“</w:t>
      </w:r>
      <w:r>
        <w:rPr>
          <w:rFonts w:hint="eastAsia" w:ascii="仿宋_GB2312" w:hAnsi="仿宋_GB2312" w:eastAsia="仿宋_GB2312"/>
          <w:b/>
          <w:bCs/>
          <w:color w:val="000000"/>
          <w:sz w:val="24"/>
          <w:szCs w:val="24"/>
          <w:lang w:val="en-US" w:eastAsia="zh-CN"/>
        </w:rPr>
        <w:t>招</w:t>
      </w:r>
      <w:r>
        <w:rPr>
          <w:rFonts w:hint="eastAsia" w:ascii="仿宋_GB2312" w:hAnsi="仿宋_GB2312" w:eastAsia="仿宋_GB2312"/>
          <w:b/>
          <w:bCs/>
          <w:color w:val="000000"/>
          <w:sz w:val="24"/>
          <w:szCs w:val="24"/>
        </w:rPr>
        <w:t>生入学报名</w:t>
      </w:r>
      <w:r>
        <w:rPr>
          <w:rFonts w:hint="eastAsia" w:ascii="仿宋_GB2312" w:hAnsi="仿宋_GB2312" w:eastAsia="仿宋_GB2312"/>
          <w:b/>
          <w:bCs/>
          <w:color w:val="000000"/>
          <w:sz w:val="24"/>
          <w:szCs w:val="24"/>
          <w:lang w:eastAsia="zh-CN"/>
        </w:rPr>
        <w:t>”</w:t>
      </w:r>
      <w:r>
        <w:rPr>
          <w:rFonts w:hint="eastAsia" w:ascii="仿宋_GB2312" w:hAnsi="仿宋_GB2312" w:eastAsia="仿宋_GB2312"/>
          <w:b/>
          <w:bCs/>
          <w:color w:val="000000"/>
          <w:sz w:val="24"/>
          <w:szCs w:val="24"/>
        </w:rPr>
        <w:t>微信小程序</w:t>
      </w:r>
      <w:r>
        <w:rPr>
          <w:rFonts w:ascii="仿宋_GB2312" w:hAnsi="仿宋_GB2312" w:eastAsia="仿宋_GB2312"/>
          <w:b/>
          <w:bCs/>
          <w:color w:val="000000"/>
          <w:sz w:val="24"/>
          <w:szCs w:val="24"/>
        </w:rPr>
        <w:t xml:space="preserve"> </w:t>
      </w:r>
    </w:p>
    <w:p>
      <w:pPr>
        <w:spacing w:line="520" w:lineRule="exact"/>
        <w:rPr>
          <w:rFonts w:hint="eastAsia" w:ascii="黑体" w:hAnsi="黑体" w:eastAsia="黑体" w:cs="黑体"/>
          <w:color w:val="000000"/>
        </w:rPr>
      </w:pPr>
    </w:p>
    <w:p>
      <w:pPr>
        <w:pStyle w:val="2"/>
        <w:rPr>
          <w:rFonts w:hint="eastAsia" w:ascii="黑体" w:hAnsi="黑体" w:eastAsia="黑体" w:cs="黑体"/>
          <w:color w:val="000000"/>
          <w:lang w:val="en-US" w:eastAsia="zh-CN"/>
        </w:rPr>
      </w:pPr>
      <w:r>
        <w:rPr>
          <w:rFonts w:hint="eastAsia" w:ascii="黑体" w:hAnsi="黑体" w:eastAsia="黑体" w:cs="黑体"/>
          <w:color w:val="000000"/>
          <w:lang w:val="en-US" w:eastAsia="zh-CN"/>
        </w:rPr>
        <w:t xml:space="preserve">  </w:t>
      </w:r>
    </w:p>
    <w:p>
      <w:pPr>
        <w:pStyle w:val="2"/>
        <w:ind w:firstLine="616" w:firstLineChars="200"/>
        <w:rPr>
          <w:rFonts w:hint="eastAsia" w:ascii="仿宋_GB2312" w:hAnsi="仿宋_GB2312" w:eastAsia="仿宋_GB2312" w:cs="仿宋_GB2312"/>
          <w:color w:val="000000"/>
          <w:spacing w:val="-6"/>
          <w:kern w:val="2"/>
          <w:sz w:val="32"/>
          <w:szCs w:val="32"/>
          <w:lang w:val="en-US" w:eastAsia="zh-CN" w:bidi="ar-SA"/>
        </w:rPr>
      </w:pPr>
      <w:r>
        <w:rPr>
          <w:rFonts w:hint="eastAsia" w:ascii="仿宋_GB2312" w:hAnsi="仿宋_GB2312" w:eastAsia="仿宋_GB2312" w:cs="仿宋_GB2312"/>
          <w:color w:val="000000"/>
          <w:spacing w:val="-6"/>
          <w:kern w:val="2"/>
          <w:sz w:val="32"/>
          <w:szCs w:val="32"/>
          <w:lang w:val="en-US" w:eastAsia="zh-CN" w:bidi="ar-SA"/>
        </w:rPr>
        <w:t>3、咨询方式</w:t>
      </w:r>
    </w:p>
    <w:p>
      <w:pPr>
        <w:pStyle w:val="2"/>
        <w:keepNext w:val="0"/>
        <w:keepLines w:val="0"/>
        <w:pageBreakBefore w:val="0"/>
        <w:widowControl w:val="0"/>
        <w:kinsoku/>
        <w:wordWrap/>
        <w:overflowPunct/>
        <w:topLinePunct w:val="0"/>
        <w:autoSpaceDE/>
        <w:autoSpaceDN/>
        <w:bidi w:val="0"/>
        <w:adjustRightInd/>
        <w:snapToGrid/>
        <w:spacing w:line="360" w:lineRule="auto"/>
        <w:ind w:firstLine="616" w:firstLineChars="200"/>
        <w:textAlignment w:val="auto"/>
        <w:rPr>
          <w:rFonts w:hint="eastAsia" w:ascii="仿宋_GB2312" w:hAnsi="仿宋_GB2312" w:eastAsia="仿宋_GB2312" w:cs="仿宋_GB2312"/>
          <w:color w:val="000000"/>
          <w:spacing w:val="-6"/>
          <w:kern w:val="2"/>
          <w:sz w:val="32"/>
          <w:szCs w:val="32"/>
          <w:lang w:val="en-US" w:eastAsia="zh-CN" w:bidi="ar-SA"/>
        </w:rPr>
      </w:pPr>
      <w:r>
        <w:rPr>
          <w:rFonts w:hint="eastAsia" w:ascii="仿宋_GB2312" w:hAnsi="仿宋_GB2312" w:eastAsia="仿宋_GB2312" w:cs="仿宋_GB2312"/>
          <w:color w:val="000000"/>
          <w:spacing w:val="-6"/>
          <w:kern w:val="2"/>
          <w:sz w:val="32"/>
          <w:szCs w:val="32"/>
          <w:lang w:val="en-US" w:eastAsia="zh-CN" w:bidi="ar-SA"/>
        </w:rPr>
        <w:t>现场咨询：教育局基教股203室；</w:t>
      </w:r>
    </w:p>
    <w:p>
      <w:pPr>
        <w:pStyle w:val="2"/>
        <w:keepNext w:val="0"/>
        <w:keepLines w:val="0"/>
        <w:pageBreakBefore w:val="0"/>
        <w:widowControl w:val="0"/>
        <w:kinsoku/>
        <w:wordWrap/>
        <w:overflowPunct/>
        <w:topLinePunct w:val="0"/>
        <w:autoSpaceDE/>
        <w:autoSpaceDN/>
        <w:bidi w:val="0"/>
        <w:adjustRightInd/>
        <w:snapToGrid/>
        <w:spacing w:line="360" w:lineRule="auto"/>
        <w:ind w:firstLine="616" w:firstLineChars="200"/>
        <w:textAlignment w:val="auto"/>
        <w:rPr>
          <w:rFonts w:hint="eastAsia" w:ascii="仿宋_GB2312" w:hAnsi="仿宋_GB2312" w:eastAsia="仿宋_GB2312" w:cs="仿宋_GB2312"/>
          <w:color w:val="000000"/>
          <w:spacing w:val="-6"/>
          <w:kern w:val="2"/>
          <w:sz w:val="32"/>
          <w:szCs w:val="32"/>
          <w:lang w:val="en-US" w:eastAsia="zh-CN" w:bidi="ar-SA"/>
        </w:rPr>
      </w:pPr>
      <w:r>
        <w:rPr>
          <w:rFonts w:hint="eastAsia" w:ascii="仿宋_GB2312" w:hAnsi="仿宋_GB2312" w:eastAsia="仿宋_GB2312" w:cs="仿宋_GB2312"/>
          <w:color w:val="000000"/>
          <w:spacing w:val="-6"/>
          <w:kern w:val="2"/>
          <w:sz w:val="32"/>
          <w:szCs w:val="32"/>
          <w:lang w:val="en-US" w:eastAsia="zh-CN" w:bidi="ar-SA"/>
        </w:rPr>
        <w:t>电话咨询：0737-5221319。</w:t>
      </w:r>
    </w:p>
    <w:p>
      <w:pPr>
        <w:rPr>
          <w:rFonts w:hint="eastAsia" w:ascii="仿宋_GB2312" w:hAnsi="仿宋_GB2312" w:eastAsia="仿宋_GB2312" w:cs="仿宋_GB2312"/>
          <w:color w:val="000000"/>
          <w:spacing w:val="-6"/>
          <w:kern w:val="2"/>
          <w:sz w:val="32"/>
          <w:szCs w:val="32"/>
          <w:lang w:val="en-US" w:eastAsia="zh-CN" w:bidi="ar-SA"/>
        </w:rPr>
      </w:pPr>
    </w:p>
    <w:p>
      <w:pPr>
        <w:pStyle w:val="2"/>
        <w:rPr>
          <w:rFonts w:hint="eastAsia" w:ascii="仿宋_GB2312" w:hAnsi="仿宋_GB2312" w:eastAsia="仿宋_GB2312" w:cs="仿宋_GB2312"/>
          <w:color w:val="000000"/>
          <w:spacing w:val="-6"/>
          <w:kern w:val="2"/>
          <w:sz w:val="32"/>
          <w:szCs w:val="32"/>
          <w:lang w:val="en-US" w:eastAsia="zh-CN" w:bidi="ar-SA"/>
        </w:rPr>
      </w:pPr>
    </w:p>
    <w:p>
      <w:pPr>
        <w:rPr>
          <w:rFonts w:hint="eastAsia" w:ascii="仿宋_GB2312" w:hAnsi="仿宋_GB2312" w:eastAsia="仿宋_GB2312" w:cs="仿宋_GB2312"/>
          <w:color w:val="000000"/>
          <w:spacing w:val="-6"/>
          <w:kern w:val="2"/>
          <w:sz w:val="32"/>
          <w:szCs w:val="32"/>
          <w:lang w:val="en-US" w:eastAsia="zh-CN" w:bidi="ar-SA"/>
        </w:rPr>
      </w:pPr>
    </w:p>
    <w:p>
      <w:pPr>
        <w:pStyle w:val="2"/>
        <w:rPr>
          <w:rFonts w:hint="eastAsia" w:ascii="仿宋_GB2312" w:hAnsi="仿宋_GB2312" w:eastAsia="仿宋_GB2312" w:cs="仿宋_GB2312"/>
          <w:color w:val="000000"/>
          <w:spacing w:val="-6"/>
          <w:kern w:val="2"/>
          <w:sz w:val="32"/>
          <w:szCs w:val="32"/>
          <w:lang w:val="en-US" w:eastAsia="zh-CN" w:bidi="ar-SA"/>
        </w:rPr>
      </w:pPr>
    </w:p>
    <w:p>
      <w:pPr>
        <w:rPr>
          <w:rFonts w:hint="eastAsia" w:ascii="仿宋_GB2312" w:hAnsi="仿宋_GB2312" w:eastAsia="仿宋_GB2312" w:cs="仿宋_GB2312"/>
          <w:color w:val="000000"/>
          <w:spacing w:val="-6"/>
          <w:kern w:val="2"/>
          <w:sz w:val="32"/>
          <w:szCs w:val="32"/>
          <w:lang w:val="en-US" w:eastAsia="zh-CN" w:bidi="ar-SA"/>
        </w:rPr>
      </w:pPr>
    </w:p>
    <w:p>
      <w:pPr>
        <w:pStyle w:val="2"/>
        <w:rPr>
          <w:rFonts w:hint="eastAsia" w:ascii="仿宋_GB2312" w:hAnsi="仿宋_GB2312" w:eastAsia="仿宋_GB2312" w:cs="仿宋_GB2312"/>
          <w:color w:val="000000"/>
          <w:spacing w:val="-6"/>
          <w:kern w:val="2"/>
          <w:sz w:val="32"/>
          <w:szCs w:val="32"/>
          <w:lang w:val="en-US" w:eastAsia="zh-CN" w:bidi="ar-SA"/>
        </w:rPr>
      </w:pPr>
    </w:p>
    <w:p>
      <w:pPr>
        <w:rPr>
          <w:rFonts w:hint="eastAsia" w:ascii="仿宋_GB2312" w:hAnsi="仿宋_GB2312" w:eastAsia="仿宋_GB2312" w:cs="仿宋_GB2312"/>
          <w:color w:val="000000"/>
          <w:spacing w:val="-6"/>
          <w:kern w:val="2"/>
          <w:sz w:val="32"/>
          <w:szCs w:val="32"/>
          <w:lang w:val="en-US" w:eastAsia="zh-CN" w:bidi="ar-SA"/>
        </w:rPr>
      </w:pPr>
    </w:p>
    <w:p>
      <w:pPr>
        <w:pStyle w:val="2"/>
        <w:rPr>
          <w:rFonts w:hint="eastAsia" w:ascii="仿宋_GB2312" w:hAnsi="仿宋_GB2312" w:eastAsia="仿宋_GB2312" w:cs="仿宋_GB2312"/>
          <w:color w:val="000000"/>
          <w:spacing w:val="-6"/>
          <w:kern w:val="2"/>
          <w:sz w:val="32"/>
          <w:szCs w:val="32"/>
          <w:lang w:val="en-US" w:eastAsia="zh-CN" w:bidi="ar-SA"/>
        </w:rPr>
      </w:pPr>
    </w:p>
    <w:p>
      <w:pPr>
        <w:rPr>
          <w:rFonts w:hint="eastAsia" w:ascii="仿宋_GB2312" w:hAnsi="仿宋_GB2312" w:eastAsia="仿宋_GB2312" w:cs="仿宋_GB2312"/>
          <w:color w:val="000000"/>
          <w:spacing w:val="-6"/>
          <w:kern w:val="2"/>
          <w:sz w:val="32"/>
          <w:szCs w:val="32"/>
          <w:lang w:val="en-US" w:eastAsia="zh-CN" w:bidi="ar-SA"/>
        </w:rPr>
      </w:pPr>
    </w:p>
    <w:p>
      <w:pPr>
        <w:pStyle w:val="2"/>
        <w:rPr>
          <w:rFonts w:hint="eastAsia" w:ascii="仿宋_GB2312" w:hAnsi="仿宋_GB2312" w:eastAsia="仿宋_GB2312" w:cs="仿宋_GB2312"/>
          <w:color w:val="000000"/>
          <w:spacing w:val="-6"/>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color w:val="000000"/>
        </w:rPr>
      </w:pPr>
      <w:r>
        <w:rPr>
          <w:rFonts w:hint="eastAsia" w:ascii="黑体" w:hAnsi="黑体" w:eastAsia="黑体" w:cs="黑体"/>
          <w:color w:val="000000"/>
        </w:rPr>
        <w:t>附件</w:t>
      </w:r>
      <w:r>
        <w:rPr>
          <w:rFonts w:ascii="黑体" w:hAnsi="黑体" w:eastAsia="黑体" w:cs="黑体"/>
          <w:color w:val="000000"/>
        </w:rPr>
        <w:t>3</w:t>
      </w:r>
    </w:p>
    <w:p>
      <w:pPr>
        <w:keepNext w:val="0"/>
        <w:keepLines w:val="0"/>
        <w:pageBreakBefore w:val="0"/>
        <w:widowControl w:val="0"/>
        <w:kinsoku/>
        <w:wordWrap/>
        <w:overflowPunct/>
        <w:topLinePunct w:val="0"/>
        <w:autoSpaceDE/>
        <w:autoSpaceDN/>
        <w:bidi w:val="0"/>
        <w:adjustRightInd/>
        <w:snapToGrid/>
        <w:spacing w:before="227" w:beforeLines="50" w:line="640" w:lineRule="exact"/>
        <w:jc w:val="center"/>
        <w:textAlignment w:val="auto"/>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南县</w:t>
      </w:r>
      <w:r>
        <w:rPr>
          <w:rFonts w:ascii="方正小标宋简体" w:hAnsi="方正小标宋简体" w:eastAsia="方正小标宋简体" w:cs="方正小标宋简体"/>
          <w:color w:val="000000"/>
          <w:sz w:val="36"/>
          <w:szCs w:val="36"/>
        </w:rPr>
        <w:t>202</w:t>
      </w:r>
      <w:r>
        <w:rPr>
          <w:rFonts w:hint="eastAsia" w:ascii="方正小标宋简体" w:hAnsi="方正小标宋简体" w:eastAsia="方正小标宋简体" w:cs="方正小标宋简体"/>
          <w:color w:val="000000"/>
          <w:sz w:val="36"/>
          <w:szCs w:val="36"/>
          <w:lang w:val="en-US" w:eastAsia="zh-CN"/>
        </w:rPr>
        <w:t>4</w:t>
      </w:r>
      <w:r>
        <w:rPr>
          <w:rFonts w:hint="eastAsia" w:ascii="方正小标宋简体" w:hAnsi="方正小标宋简体" w:eastAsia="方正小标宋简体" w:cs="方正小标宋简体"/>
          <w:color w:val="000000"/>
          <w:sz w:val="36"/>
          <w:szCs w:val="36"/>
        </w:rPr>
        <w:t>年</w:t>
      </w:r>
      <w:r>
        <w:rPr>
          <w:rFonts w:hint="eastAsia" w:ascii="方正小标宋简体" w:hAnsi="方正小标宋简体" w:eastAsia="方正小标宋简体" w:cs="方正小标宋简体"/>
          <w:color w:val="000000"/>
          <w:sz w:val="36"/>
          <w:szCs w:val="36"/>
          <w:lang w:val="en-US" w:eastAsia="zh-CN"/>
        </w:rPr>
        <w:t>春季</w:t>
      </w:r>
      <w:r>
        <w:rPr>
          <w:rFonts w:hint="eastAsia" w:ascii="方正小标宋简体" w:hAnsi="方正小标宋简体" w:eastAsia="方正小标宋简体" w:cs="方正小标宋简体"/>
          <w:color w:val="000000"/>
          <w:sz w:val="36"/>
          <w:szCs w:val="36"/>
        </w:rPr>
        <w:t>城区义务教育学校</w:t>
      </w:r>
      <w:r>
        <w:rPr>
          <w:rFonts w:hint="eastAsia" w:ascii="方正小标宋简体" w:hAnsi="方正小标宋简体" w:eastAsia="方正小标宋简体" w:cs="方正小标宋简体"/>
          <w:color w:val="000000"/>
          <w:sz w:val="36"/>
          <w:szCs w:val="36"/>
          <w:lang w:val="en-US" w:eastAsia="zh-CN"/>
        </w:rPr>
        <w:t>插班生</w:t>
      </w:r>
      <w:r>
        <w:rPr>
          <w:rFonts w:hint="eastAsia" w:ascii="方正小标宋简体" w:hAnsi="方正小标宋简体" w:eastAsia="方正小标宋简体" w:cs="方正小标宋简体"/>
          <w:color w:val="000000"/>
          <w:sz w:val="36"/>
          <w:szCs w:val="36"/>
        </w:rPr>
        <w:t>招生</w:t>
      </w:r>
    </w:p>
    <w:p>
      <w:pPr>
        <w:keepNext w:val="0"/>
        <w:keepLines w:val="0"/>
        <w:pageBreakBefore w:val="0"/>
        <w:widowControl w:val="0"/>
        <w:kinsoku/>
        <w:wordWrap/>
        <w:overflowPunct/>
        <w:topLinePunct w:val="0"/>
        <w:autoSpaceDE/>
        <w:autoSpaceDN/>
        <w:bidi w:val="0"/>
        <w:adjustRightInd/>
        <w:snapToGrid/>
        <w:spacing w:before="227" w:beforeLines="50" w:line="640" w:lineRule="exact"/>
        <w:jc w:val="center"/>
        <w:textAlignment w:val="auto"/>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工作日程安排</w:t>
      </w:r>
    </w:p>
    <w:tbl>
      <w:tblPr>
        <w:tblStyle w:val="7"/>
        <w:tblpPr w:leftFromText="180" w:rightFromText="180" w:vertAnchor="text" w:horzAnchor="page" w:tblpX="1770" w:tblpY="315"/>
        <w:tblOverlap w:val="never"/>
        <w:tblW w:w="8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2351"/>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b/>
                <w:bCs/>
                <w:color w:val="000000"/>
              </w:rPr>
            </w:pPr>
            <w:r>
              <w:rPr>
                <w:rFonts w:hint="eastAsia" w:ascii="仿宋_GB2312" w:hAnsi="仿宋_GB2312" w:eastAsia="仿宋_GB2312" w:cs="仿宋_GB2312"/>
                <w:b/>
                <w:bCs/>
                <w:color w:val="000000"/>
              </w:rPr>
              <w:t>时间</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b/>
                <w:bCs/>
                <w:color w:val="000000"/>
              </w:rPr>
            </w:pPr>
            <w:r>
              <w:rPr>
                <w:rFonts w:hint="eastAsia" w:ascii="仿宋_GB2312" w:hAnsi="仿宋_GB2312" w:eastAsia="仿宋_GB2312" w:cs="仿宋_GB2312"/>
                <w:b/>
                <w:bCs/>
                <w:color w:val="000000"/>
              </w:rPr>
              <w:t>工作内容</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b/>
                <w:bCs/>
                <w:color w:val="000000"/>
              </w:rPr>
            </w:pPr>
            <w:r>
              <w:rPr>
                <w:rFonts w:hint="eastAsia" w:ascii="仿宋_GB2312" w:hAnsi="仿宋_GB2312" w:eastAsia="仿宋_GB2312" w:cs="仿宋_GB2312"/>
                <w:b/>
                <w:bCs/>
                <w:color w:val="000000"/>
                <w:lang w:val="en-US" w:eastAsia="zh-CN"/>
              </w:rPr>
              <w:t>相</w:t>
            </w:r>
            <w:r>
              <w:rPr>
                <w:rFonts w:hint="eastAsia" w:ascii="仿宋_GB2312" w:hAnsi="仿宋_GB2312" w:eastAsia="仿宋_GB2312" w:cs="仿宋_GB2312"/>
                <w:b/>
                <w:bCs/>
                <w:color w:val="000000"/>
              </w:rPr>
              <w:t>关要求</w:t>
            </w:r>
            <w:r>
              <w:rPr>
                <w:rFonts w:hint="eastAsia" w:ascii="仿宋_GB2312" w:hAnsi="仿宋_GB2312" w:eastAsia="仿宋_GB2312" w:cs="仿宋_GB2312"/>
                <w:b/>
                <w:bCs/>
                <w:color w:val="000000"/>
                <w:lang w:val="en-US" w:eastAsia="zh-CN"/>
              </w:rPr>
              <w:t>及</w:t>
            </w:r>
            <w:r>
              <w:rPr>
                <w:rFonts w:hint="eastAsia" w:ascii="仿宋_GB2312" w:hAnsi="仿宋_GB2312" w:eastAsia="仿宋_GB2312" w:cs="仿宋_GB2312"/>
                <w:b/>
                <w:bCs/>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29</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w:t>
            </w:r>
          </w:p>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19</w:t>
            </w:r>
            <w:r>
              <w:rPr>
                <w:rFonts w:hint="eastAsia" w:ascii="仿宋_GB2312" w:hAnsi="仿宋_GB2312" w:eastAsia="仿宋_GB2312" w:cs="仿宋_GB2312"/>
                <w:color w:val="000000"/>
                <w:sz w:val="28"/>
                <w:szCs w:val="28"/>
              </w:rPr>
              <w:t>日</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学位申报</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560" w:firstLineChars="200"/>
              <w:jc w:val="left"/>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监护人登录“南县202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春季</w:t>
            </w:r>
            <w:r>
              <w:rPr>
                <w:rFonts w:hint="eastAsia" w:ascii="仿宋_GB2312" w:hAnsi="仿宋_GB2312" w:eastAsia="仿宋_GB2312" w:cs="仿宋_GB2312"/>
                <w:color w:val="000000"/>
                <w:sz w:val="28"/>
                <w:szCs w:val="28"/>
              </w:rPr>
              <w:t>城区义务教育学校</w:t>
            </w:r>
            <w:r>
              <w:rPr>
                <w:rFonts w:hint="eastAsia" w:ascii="仿宋_GB2312" w:hAnsi="仿宋_GB2312" w:eastAsia="仿宋_GB2312" w:cs="仿宋_GB2312"/>
                <w:color w:val="000000"/>
                <w:sz w:val="28"/>
                <w:szCs w:val="28"/>
                <w:lang w:val="en-US" w:eastAsia="zh-CN"/>
              </w:rPr>
              <w:t>插班生</w:t>
            </w:r>
            <w:r>
              <w:rPr>
                <w:rFonts w:hint="eastAsia" w:ascii="仿宋_GB2312" w:hAnsi="仿宋_GB2312" w:eastAsia="仿宋_GB2312" w:cs="仿宋_GB2312"/>
                <w:color w:val="000000"/>
                <w:sz w:val="28"/>
                <w:szCs w:val="28"/>
              </w:rPr>
              <w:t>入学报名平台”，申报学位，上传相关材料。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20</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w:t>
            </w:r>
          </w:p>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21</w:t>
            </w:r>
            <w:r>
              <w:rPr>
                <w:rFonts w:hint="eastAsia" w:ascii="仿宋_GB2312" w:hAnsi="仿宋_GB2312" w:eastAsia="仿宋_GB2312" w:cs="仿宋_GB2312"/>
                <w:color w:val="000000"/>
                <w:sz w:val="28"/>
                <w:szCs w:val="28"/>
              </w:rPr>
              <w:t>日</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县局组织</w:t>
            </w:r>
            <w:r>
              <w:rPr>
                <w:rFonts w:hint="eastAsia" w:ascii="仿宋_GB2312" w:hAnsi="仿宋_GB2312" w:eastAsia="仿宋_GB2312" w:cs="仿宋_GB2312"/>
                <w:color w:val="000000"/>
                <w:sz w:val="28"/>
                <w:szCs w:val="28"/>
              </w:rPr>
              <w:t>学校</w:t>
            </w:r>
          </w:p>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进行</w:t>
            </w:r>
            <w:r>
              <w:rPr>
                <w:rFonts w:hint="eastAsia" w:ascii="仿宋_GB2312" w:hAnsi="仿宋_GB2312" w:eastAsia="仿宋_GB2312" w:cs="仿宋_GB2312"/>
                <w:color w:val="000000"/>
                <w:sz w:val="28"/>
                <w:szCs w:val="28"/>
              </w:rPr>
              <w:t>初审</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560" w:firstLineChars="200"/>
              <w:jc w:val="left"/>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严格</w:t>
            </w:r>
            <w:r>
              <w:rPr>
                <w:rFonts w:hint="eastAsia" w:ascii="仿宋_GB2312" w:hAnsi="仿宋_GB2312" w:eastAsia="仿宋_GB2312" w:cs="仿宋_GB2312"/>
                <w:color w:val="000000"/>
                <w:sz w:val="28"/>
                <w:szCs w:val="28"/>
              </w:rPr>
              <w:t>审核</w:t>
            </w:r>
            <w:r>
              <w:rPr>
                <w:rFonts w:hint="eastAsia" w:ascii="仿宋_GB2312" w:hAnsi="仿宋_GB2312" w:eastAsia="仿宋_GB2312" w:cs="仿宋_GB2312"/>
                <w:color w:val="000000"/>
                <w:sz w:val="28"/>
                <w:szCs w:val="28"/>
                <w:lang w:val="en-US" w:eastAsia="zh-CN"/>
              </w:rPr>
              <w:t>上传材料</w:t>
            </w:r>
            <w:r>
              <w:rPr>
                <w:rFonts w:hint="eastAsia" w:ascii="仿宋_GB2312" w:hAnsi="仿宋_GB2312" w:eastAsia="仿宋_GB2312" w:cs="仿宋_GB2312"/>
                <w:color w:val="000000"/>
                <w:sz w:val="28"/>
                <w:szCs w:val="28"/>
              </w:rPr>
              <w:t>是否具备城区学校入学条件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w:t>
            </w:r>
          </w:p>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rPr>
              <w:t>日</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县局</w:t>
            </w:r>
            <w:r>
              <w:rPr>
                <w:rFonts w:hint="eastAsia" w:ascii="仿宋_GB2312" w:hAnsi="仿宋_GB2312" w:eastAsia="仿宋_GB2312" w:cs="仿宋_GB2312"/>
                <w:color w:val="000000"/>
                <w:sz w:val="28"/>
                <w:szCs w:val="28"/>
                <w:lang w:val="en-US" w:eastAsia="zh-CN"/>
              </w:rPr>
              <w:t>联合职能</w:t>
            </w:r>
          </w:p>
          <w:p>
            <w:pPr>
              <w:spacing w:line="300" w:lineRule="exact"/>
              <w:jc w:val="center"/>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部门</w:t>
            </w:r>
            <w:r>
              <w:rPr>
                <w:rFonts w:hint="eastAsia" w:ascii="仿宋_GB2312" w:hAnsi="仿宋_GB2312" w:eastAsia="仿宋_GB2312" w:cs="仿宋_GB2312"/>
                <w:color w:val="000000"/>
                <w:sz w:val="28"/>
                <w:szCs w:val="28"/>
              </w:rPr>
              <w:t>复审</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560" w:firstLineChars="200"/>
              <w:jc w:val="left"/>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县局联系相关职能部门复核有关材料并完成终审。若需要随机派位，县局将联系具备资质的专业公司参与，随机派位工作方案将提前两天在新生入学报名平台发布。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w:t>
            </w:r>
          </w:p>
          <w:p>
            <w:pPr>
              <w:spacing w:line="300" w:lineRule="exact"/>
              <w:jc w:val="center"/>
              <w:rPr>
                <w:rFonts w:hint="default"/>
                <w:lang w:val="en-US" w:eastAsia="zh-CN"/>
              </w:rPr>
            </w:pPr>
            <w:r>
              <w:rPr>
                <w:rFonts w:hint="eastAsia" w:ascii="仿宋_GB2312" w:hAnsi="仿宋_GB2312" w:eastAsia="仿宋_GB2312" w:cs="仿宋_GB2312"/>
                <w:color w:val="000000"/>
                <w:sz w:val="28"/>
                <w:szCs w:val="28"/>
                <w:lang w:val="en-US" w:eastAsia="zh-CN"/>
              </w:rPr>
              <w:t xml:space="preserve">2月25日 </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_GB2312" w:hAnsi="仿宋_GB2312" w:eastAsia="仿宋_GB2312"/>
                <w:color w:val="000000"/>
                <w:kern w:val="2"/>
                <w:sz w:val="28"/>
                <w:szCs w:val="28"/>
                <w:lang w:val="en-US" w:eastAsia="zh-CN" w:bidi="ar-SA"/>
              </w:rPr>
            </w:pPr>
            <w:r>
              <w:rPr>
                <w:rFonts w:hint="eastAsia" w:ascii="仿宋_GB2312" w:hAnsi="仿宋_GB2312" w:eastAsia="仿宋_GB2312" w:cs="仿宋_GB2312"/>
                <w:color w:val="000000"/>
                <w:sz w:val="28"/>
                <w:szCs w:val="28"/>
              </w:rPr>
              <w:t>学位</w:t>
            </w:r>
            <w:r>
              <w:rPr>
                <w:rFonts w:hint="eastAsia" w:ascii="仿宋_GB2312" w:hAnsi="仿宋_GB2312" w:eastAsia="仿宋_GB2312" w:cs="仿宋_GB2312"/>
                <w:color w:val="000000"/>
                <w:sz w:val="28"/>
                <w:szCs w:val="28"/>
                <w:lang w:val="en-US" w:eastAsia="zh-CN"/>
              </w:rPr>
              <w:t>统筹、调剂</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560" w:firstLineChars="200"/>
              <w:jc w:val="left"/>
              <w:rPr>
                <w:rFonts w:hint="default" w:ascii="仿宋_GB2312" w:hAnsi="仿宋_GB2312" w:eastAsia="仿宋_GB2312"/>
                <w:color w:val="000000"/>
                <w:kern w:val="2"/>
                <w:sz w:val="28"/>
                <w:szCs w:val="28"/>
                <w:lang w:val="en-US" w:eastAsia="zh-CN" w:bidi="ar-SA"/>
              </w:rPr>
            </w:pPr>
            <w:r>
              <w:rPr>
                <w:rFonts w:hint="eastAsia" w:ascii="仿宋_GB2312" w:hAnsi="仿宋_GB2312" w:eastAsia="仿宋_GB2312"/>
                <w:color w:val="000000"/>
                <w:kern w:val="2"/>
                <w:sz w:val="28"/>
                <w:szCs w:val="28"/>
                <w:lang w:val="en-US" w:eastAsia="zh-CN" w:bidi="ar-SA"/>
              </w:rPr>
              <w:t>县局摸底城区各校各年级学位剩余情况，并根据学位申报情况进行统筹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20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_GB2312" w:hAnsi="仿宋_GB2312" w:eastAsia="仿宋_GB2312"/>
                <w:color w:val="000000"/>
                <w:sz w:val="28"/>
                <w:szCs w:val="28"/>
                <w:lang w:val="en-US" w:eastAsia="zh-CN"/>
              </w:rPr>
            </w:pPr>
            <w:r>
              <w:rPr>
                <w:rFonts w:hint="eastAsia" w:ascii="仿宋_GB2312" w:hAnsi="仿宋_GB2312" w:eastAsia="仿宋_GB2312"/>
                <w:color w:val="000000"/>
                <w:sz w:val="28"/>
                <w:szCs w:val="28"/>
                <w:lang w:val="en-US" w:eastAsia="zh-CN"/>
              </w:rPr>
              <w:t>2月26日</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学位派送</w:t>
            </w:r>
            <w:r>
              <w:rPr>
                <w:rFonts w:hint="eastAsia" w:ascii="仿宋_GB2312" w:hAnsi="仿宋_GB2312" w:eastAsia="仿宋_GB2312" w:cs="仿宋_GB2312"/>
                <w:color w:val="000000"/>
                <w:sz w:val="28"/>
                <w:szCs w:val="28"/>
                <w:lang w:eastAsia="zh-CN"/>
              </w:rPr>
              <w:t>、</w:t>
            </w:r>
          </w:p>
          <w:p>
            <w:pPr>
              <w:pStyle w:val="2"/>
              <w:jc w:val="center"/>
              <w:rPr>
                <w:rFonts w:hint="default"/>
                <w:lang w:val="en-US" w:eastAsia="zh-CN"/>
              </w:rPr>
            </w:pPr>
            <w:r>
              <w:rPr>
                <w:rFonts w:hint="eastAsia" w:ascii="仿宋_GB2312" w:hAnsi="仿宋_GB2312" w:eastAsia="仿宋_GB2312" w:cs="仿宋_GB2312"/>
                <w:color w:val="000000"/>
                <w:sz w:val="28"/>
                <w:szCs w:val="28"/>
                <w:lang w:val="en-US" w:eastAsia="zh-CN"/>
              </w:rPr>
              <w:t>报到入学</w:t>
            </w:r>
          </w:p>
        </w:tc>
        <w:tc>
          <w:tcPr>
            <w:tcW w:w="447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firstLine="560" w:firstLineChars="200"/>
              <w:jc w:val="left"/>
              <w:rPr>
                <w:rFonts w:hint="default" w:ascii="仿宋_GB2312" w:hAnsi="仿宋_GB2312" w:eastAsia="仿宋_GB2312"/>
                <w:color w:val="000000"/>
                <w:sz w:val="28"/>
                <w:szCs w:val="28"/>
                <w:lang w:val="en-US" w:eastAsia="zh-CN"/>
              </w:rPr>
            </w:pPr>
            <w:r>
              <w:rPr>
                <w:rFonts w:hint="eastAsia" w:ascii="仿宋_GB2312" w:hAnsi="仿宋_GB2312" w:eastAsia="仿宋_GB2312" w:cs="仿宋_GB2312"/>
                <w:color w:val="000000"/>
                <w:sz w:val="28"/>
                <w:szCs w:val="28"/>
              </w:rPr>
              <w:t>派</w:t>
            </w:r>
            <w:r>
              <w:rPr>
                <w:rFonts w:hint="eastAsia" w:ascii="仿宋_GB2312" w:hAnsi="仿宋_GB2312" w:eastAsia="仿宋_GB2312" w:cs="仿宋_GB2312"/>
                <w:color w:val="000000"/>
                <w:sz w:val="28"/>
                <w:szCs w:val="28"/>
                <w:lang w:val="en-US" w:eastAsia="zh-CN"/>
              </w:rPr>
              <w:t>位信息将</w:t>
            </w:r>
            <w:r>
              <w:rPr>
                <w:rFonts w:hint="eastAsia" w:ascii="仿宋_GB2312" w:hAnsi="仿宋_GB2312" w:eastAsia="仿宋_GB2312" w:cs="仿宋_GB2312"/>
                <w:color w:val="000000"/>
                <w:sz w:val="28"/>
                <w:szCs w:val="28"/>
              </w:rPr>
              <w:t>通过</w:t>
            </w:r>
            <w:r>
              <w:rPr>
                <w:rFonts w:hint="eastAsia" w:ascii="仿宋_GB2312" w:hAnsi="仿宋_GB2312" w:eastAsia="仿宋_GB2312" w:cs="仿宋_GB2312"/>
                <w:color w:val="000000"/>
                <w:sz w:val="28"/>
                <w:szCs w:val="28"/>
                <w:lang w:val="en-US" w:eastAsia="zh-CN"/>
              </w:rPr>
              <w:t>插班生入学</w:t>
            </w:r>
            <w:r>
              <w:rPr>
                <w:rFonts w:hint="eastAsia" w:ascii="仿宋_GB2312" w:hAnsi="仿宋_GB2312" w:eastAsia="仿宋_GB2312" w:cs="仿宋_GB2312"/>
                <w:color w:val="000000"/>
                <w:sz w:val="28"/>
                <w:szCs w:val="28"/>
              </w:rPr>
              <w:t>平台发布</w:t>
            </w:r>
            <w:r>
              <w:rPr>
                <w:rFonts w:hint="eastAsia" w:ascii="仿宋_GB2312" w:hAnsi="仿宋_GB2312" w:eastAsia="仿宋_GB2312" w:cs="仿宋_GB2312"/>
                <w:color w:val="000000"/>
                <w:sz w:val="28"/>
                <w:szCs w:val="28"/>
                <w:lang w:val="en-US" w:eastAsia="zh-CN"/>
              </w:rPr>
              <w:t>并发送短信到监护人预留的手机号上，</w:t>
            </w:r>
            <w:r>
              <w:rPr>
                <w:rFonts w:hint="eastAsia" w:ascii="仿宋_GB2312" w:hAnsi="仿宋_GB2312" w:eastAsia="仿宋_GB2312"/>
                <w:color w:val="000000"/>
                <w:sz w:val="28"/>
                <w:szCs w:val="28"/>
                <w:lang w:val="en-US" w:eastAsia="zh-CN"/>
              </w:rPr>
              <w:t>监护人持学生户口页或身份证到派位学校领取县局开具的学位派送单并办理插班生入学手续</w:t>
            </w:r>
          </w:p>
        </w:tc>
      </w:tr>
    </w:tbl>
    <w:p>
      <w:pPr>
        <w:spacing w:beforeLines="100" w:line="560" w:lineRule="exact"/>
        <w:jc w:val="left"/>
        <w:rPr>
          <w:rFonts w:hint="default" w:ascii="方正小标宋简体" w:hAnsi="方正小标宋简体" w:eastAsia="方正小标宋简体" w:cs="方正小标宋简体"/>
          <w:color w:val="auto"/>
          <w:sz w:val="32"/>
          <w:szCs w:val="32"/>
          <w:lang w:val="en-US" w:eastAsia="zh-CN"/>
        </w:rPr>
      </w:pPr>
    </w:p>
    <w:sectPr>
      <w:headerReference r:id="rId3" w:type="default"/>
      <w:footerReference r:id="rId4" w:type="default"/>
      <w:pgSz w:w="11906" w:h="16838"/>
      <w:pgMar w:top="1508" w:right="1474" w:bottom="1451" w:left="1587" w:header="851" w:footer="992" w:gutter="0"/>
      <w:cols w:space="0" w:num="1"/>
      <w:rtlGutter w:val="0"/>
      <w:docGrid w:type="lines" w:linePitch="46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长城仿宋体">
    <w:altName w:val="宋体"/>
    <w:panose1 w:val="00000000000000000000"/>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2B50D"/>
    <w:multiLevelType w:val="singleLevel"/>
    <w:tmpl w:val="0AB2B50D"/>
    <w:lvl w:ilvl="0" w:tentative="0">
      <w:start w:val="2"/>
      <w:numFmt w:val="decimal"/>
      <w:suff w:val="nothing"/>
      <w:lvlText w:val="%1、"/>
      <w:lvlJc w:val="left"/>
    </w:lvl>
  </w:abstractNum>
  <w:abstractNum w:abstractNumId="1">
    <w:nsid w:val="3F18B3F5"/>
    <w:multiLevelType w:val="singleLevel"/>
    <w:tmpl w:val="3F18B3F5"/>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233"/>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ZjY1ZDQyOTZjZDkzYTc4MjE5N2MxZmUxOGI5MmEifQ=="/>
  </w:docVars>
  <w:rsids>
    <w:rsidRoot w:val="63B70F14"/>
    <w:rsid w:val="00BA174A"/>
    <w:rsid w:val="011B6997"/>
    <w:rsid w:val="01395070"/>
    <w:rsid w:val="01A16DFD"/>
    <w:rsid w:val="01AF179F"/>
    <w:rsid w:val="01BB3CD7"/>
    <w:rsid w:val="02335DBB"/>
    <w:rsid w:val="02720839"/>
    <w:rsid w:val="029079EC"/>
    <w:rsid w:val="02B349AE"/>
    <w:rsid w:val="02E71A40"/>
    <w:rsid w:val="03547F3F"/>
    <w:rsid w:val="03DD4D50"/>
    <w:rsid w:val="03F84D6E"/>
    <w:rsid w:val="04043713"/>
    <w:rsid w:val="040F20B8"/>
    <w:rsid w:val="045D2230"/>
    <w:rsid w:val="04706FFA"/>
    <w:rsid w:val="04952BD1"/>
    <w:rsid w:val="049F4889"/>
    <w:rsid w:val="04E978D1"/>
    <w:rsid w:val="055C132D"/>
    <w:rsid w:val="056B1A3F"/>
    <w:rsid w:val="06416BB8"/>
    <w:rsid w:val="06667B97"/>
    <w:rsid w:val="067E0744"/>
    <w:rsid w:val="07EC0D63"/>
    <w:rsid w:val="07F25F78"/>
    <w:rsid w:val="07F437BE"/>
    <w:rsid w:val="08603DD0"/>
    <w:rsid w:val="08D51B22"/>
    <w:rsid w:val="090B43BD"/>
    <w:rsid w:val="09414AC1"/>
    <w:rsid w:val="09D30BE9"/>
    <w:rsid w:val="09E032A9"/>
    <w:rsid w:val="09FA2DCA"/>
    <w:rsid w:val="0A8A353C"/>
    <w:rsid w:val="0B291CB1"/>
    <w:rsid w:val="0B511704"/>
    <w:rsid w:val="0B9730BE"/>
    <w:rsid w:val="0BAB4DBC"/>
    <w:rsid w:val="0BD7170D"/>
    <w:rsid w:val="0C08382B"/>
    <w:rsid w:val="0C447F1A"/>
    <w:rsid w:val="0CAC4948"/>
    <w:rsid w:val="0D2E0643"/>
    <w:rsid w:val="0D725BF6"/>
    <w:rsid w:val="0DFD0FF8"/>
    <w:rsid w:val="0E3E5A73"/>
    <w:rsid w:val="0E941B37"/>
    <w:rsid w:val="0E9E212A"/>
    <w:rsid w:val="0EFE5A20"/>
    <w:rsid w:val="0F5117D6"/>
    <w:rsid w:val="0F8304E3"/>
    <w:rsid w:val="102313C5"/>
    <w:rsid w:val="10665231"/>
    <w:rsid w:val="106F1975"/>
    <w:rsid w:val="1084109F"/>
    <w:rsid w:val="10972712"/>
    <w:rsid w:val="10CC24D0"/>
    <w:rsid w:val="10EA0134"/>
    <w:rsid w:val="10FE598E"/>
    <w:rsid w:val="111676F8"/>
    <w:rsid w:val="118E2753"/>
    <w:rsid w:val="11B76EE8"/>
    <w:rsid w:val="12543AB7"/>
    <w:rsid w:val="12B761F6"/>
    <w:rsid w:val="130B4B50"/>
    <w:rsid w:val="13367661"/>
    <w:rsid w:val="134C0C32"/>
    <w:rsid w:val="1350429D"/>
    <w:rsid w:val="139D094C"/>
    <w:rsid w:val="13AE369B"/>
    <w:rsid w:val="13FF3EF7"/>
    <w:rsid w:val="14836DA8"/>
    <w:rsid w:val="158B4D8B"/>
    <w:rsid w:val="15D87EFC"/>
    <w:rsid w:val="16A6206C"/>
    <w:rsid w:val="16C84A74"/>
    <w:rsid w:val="17141165"/>
    <w:rsid w:val="173A0CD8"/>
    <w:rsid w:val="175641D8"/>
    <w:rsid w:val="175957A5"/>
    <w:rsid w:val="17836259"/>
    <w:rsid w:val="178E52DD"/>
    <w:rsid w:val="17AD5353"/>
    <w:rsid w:val="17C36FE9"/>
    <w:rsid w:val="19143FA0"/>
    <w:rsid w:val="195E521C"/>
    <w:rsid w:val="196250D8"/>
    <w:rsid w:val="19727F74"/>
    <w:rsid w:val="1A341039"/>
    <w:rsid w:val="1A5F2FF9"/>
    <w:rsid w:val="1A6745A4"/>
    <w:rsid w:val="1ABB1F8D"/>
    <w:rsid w:val="1ABF75DD"/>
    <w:rsid w:val="1AD2091B"/>
    <w:rsid w:val="1B3F2E2B"/>
    <w:rsid w:val="1B577360"/>
    <w:rsid w:val="1B852F33"/>
    <w:rsid w:val="1BC21F3A"/>
    <w:rsid w:val="1CB021B5"/>
    <w:rsid w:val="1D047E88"/>
    <w:rsid w:val="1D633899"/>
    <w:rsid w:val="1D7B00C3"/>
    <w:rsid w:val="1E326C77"/>
    <w:rsid w:val="1EBF675C"/>
    <w:rsid w:val="1F06438B"/>
    <w:rsid w:val="1F813A12"/>
    <w:rsid w:val="20B66D4A"/>
    <w:rsid w:val="220347E3"/>
    <w:rsid w:val="223B6BE7"/>
    <w:rsid w:val="226621C0"/>
    <w:rsid w:val="228F4698"/>
    <w:rsid w:val="229E7EE0"/>
    <w:rsid w:val="23384D2F"/>
    <w:rsid w:val="23766FB8"/>
    <w:rsid w:val="23B048C6"/>
    <w:rsid w:val="23D96DCA"/>
    <w:rsid w:val="23F01166"/>
    <w:rsid w:val="242C7BE1"/>
    <w:rsid w:val="248024EA"/>
    <w:rsid w:val="253F23A5"/>
    <w:rsid w:val="25A14E0E"/>
    <w:rsid w:val="25AF6D57"/>
    <w:rsid w:val="261C26E6"/>
    <w:rsid w:val="261E645E"/>
    <w:rsid w:val="262C2A65"/>
    <w:rsid w:val="2667684A"/>
    <w:rsid w:val="27137EEF"/>
    <w:rsid w:val="27DA483A"/>
    <w:rsid w:val="27FB09CD"/>
    <w:rsid w:val="28065880"/>
    <w:rsid w:val="281232C0"/>
    <w:rsid w:val="282B4E63"/>
    <w:rsid w:val="28972E65"/>
    <w:rsid w:val="2907142C"/>
    <w:rsid w:val="295821C2"/>
    <w:rsid w:val="29A0362E"/>
    <w:rsid w:val="29D87103"/>
    <w:rsid w:val="29FE580D"/>
    <w:rsid w:val="2AA44A58"/>
    <w:rsid w:val="2AA64C74"/>
    <w:rsid w:val="2AAB67C7"/>
    <w:rsid w:val="2AC450FA"/>
    <w:rsid w:val="2AF6484F"/>
    <w:rsid w:val="2B30238E"/>
    <w:rsid w:val="2C22657D"/>
    <w:rsid w:val="2C701096"/>
    <w:rsid w:val="2CC82C80"/>
    <w:rsid w:val="2DEC299E"/>
    <w:rsid w:val="2E402CEA"/>
    <w:rsid w:val="2E7221A8"/>
    <w:rsid w:val="2EE8585B"/>
    <w:rsid w:val="2F0D0E1E"/>
    <w:rsid w:val="30112FC0"/>
    <w:rsid w:val="3049057C"/>
    <w:rsid w:val="308C66BA"/>
    <w:rsid w:val="30B11D98"/>
    <w:rsid w:val="31327262"/>
    <w:rsid w:val="316627E2"/>
    <w:rsid w:val="31A50FE7"/>
    <w:rsid w:val="31A53F00"/>
    <w:rsid w:val="32002EBC"/>
    <w:rsid w:val="325422AE"/>
    <w:rsid w:val="32560D2E"/>
    <w:rsid w:val="325F76B6"/>
    <w:rsid w:val="32957AA8"/>
    <w:rsid w:val="329B2BE5"/>
    <w:rsid w:val="32F702BD"/>
    <w:rsid w:val="33AC5054"/>
    <w:rsid w:val="33E23D2D"/>
    <w:rsid w:val="33EE7B64"/>
    <w:rsid w:val="33EF66C0"/>
    <w:rsid w:val="341804E9"/>
    <w:rsid w:val="342D7534"/>
    <w:rsid w:val="348F0527"/>
    <w:rsid w:val="34FF0E8B"/>
    <w:rsid w:val="35892DD7"/>
    <w:rsid w:val="35C20097"/>
    <w:rsid w:val="3600523D"/>
    <w:rsid w:val="36D02CAA"/>
    <w:rsid w:val="36F07C27"/>
    <w:rsid w:val="37141F56"/>
    <w:rsid w:val="371D1E1A"/>
    <w:rsid w:val="37421881"/>
    <w:rsid w:val="375967D9"/>
    <w:rsid w:val="386D6DD1"/>
    <w:rsid w:val="38A748FD"/>
    <w:rsid w:val="38FE5C7B"/>
    <w:rsid w:val="393D31F5"/>
    <w:rsid w:val="394871E4"/>
    <w:rsid w:val="3954623F"/>
    <w:rsid w:val="3A2558BB"/>
    <w:rsid w:val="3ABE3914"/>
    <w:rsid w:val="3B4F27BE"/>
    <w:rsid w:val="3B9A612F"/>
    <w:rsid w:val="3B9D6010"/>
    <w:rsid w:val="3C3814A4"/>
    <w:rsid w:val="3C3B0B5A"/>
    <w:rsid w:val="3CA97EF1"/>
    <w:rsid w:val="3D4520CB"/>
    <w:rsid w:val="3DD93F96"/>
    <w:rsid w:val="3DF8713D"/>
    <w:rsid w:val="3E123E9B"/>
    <w:rsid w:val="3E474004"/>
    <w:rsid w:val="3E691DE9"/>
    <w:rsid w:val="3ED657B5"/>
    <w:rsid w:val="3F6902F3"/>
    <w:rsid w:val="3FCB34E6"/>
    <w:rsid w:val="3FEC0F24"/>
    <w:rsid w:val="40E7580A"/>
    <w:rsid w:val="413C338E"/>
    <w:rsid w:val="41546D80"/>
    <w:rsid w:val="418238EE"/>
    <w:rsid w:val="41A41AB6"/>
    <w:rsid w:val="41D91034"/>
    <w:rsid w:val="42091919"/>
    <w:rsid w:val="420936C7"/>
    <w:rsid w:val="421507F3"/>
    <w:rsid w:val="427E3598"/>
    <w:rsid w:val="429733C9"/>
    <w:rsid w:val="430345BA"/>
    <w:rsid w:val="431D03AC"/>
    <w:rsid w:val="43482915"/>
    <w:rsid w:val="435832D1"/>
    <w:rsid w:val="43655275"/>
    <w:rsid w:val="43E32494"/>
    <w:rsid w:val="443930FD"/>
    <w:rsid w:val="443E4E5B"/>
    <w:rsid w:val="44A1408B"/>
    <w:rsid w:val="44A8366B"/>
    <w:rsid w:val="47595880"/>
    <w:rsid w:val="4798510F"/>
    <w:rsid w:val="47A13742"/>
    <w:rsid w:val="47DD7AD0"/>
    <w:rsid w:val="47DF4AF8"/>
    <w:rsid w:val="47E0136E"/>
    <w:rsid w:val="482C010F"/>
    <w:rsid w:val="485F39D1"/>
    <w:rsid w:val="48D53AF8"/>
    <w:rsid w:val="49247038"/>
    <w:rsid w:val="4A11580F"/>
    <w:rsid w:val="4A2C3294"/>
    <w:rsid w:val="4ACB3384"/>
    <w:rsid w:val="4B582862"/>
    <w:rsid w:val="4B6A3D2F"/>
    <w:rsid w:val="4C0A2020"/>
    <w:rsid w:val="4CBF00E9"/>
    <w:rsid w:val="4CC443E4"/>
    <w:rsid w:val="4D783DF7"/>
    <w:rsid w:val="4D8409ED"/>
    <w:rsid w:val="4E3E6DEE"/>
    <w:rsid w:val="4E7B21A9"/>
    <w:rsid w:val="4EC07803"/>
    <w:rsid w:val="4EF474AD"/>
    <w:rsid w:val="4F0B7A65"/>
    <w:rsid w:val="502D0EC8"/>
    <w:rsid w:val="50DE21C3"/>
    <w:rsid w:val="516210C7"/>
    <w:rsid w:val="51FB3E14"/>
    <w:rsid w:val="523601F3"/>
    <w:rsid w:val="531243A6"/>
    <w:rsid w:val="53281E1B"/>
    <w:rsid w:val="53A6717A"/>
    <w:rsid w:val="549C03CB"/>
    <w:rsid w:val="552C7F09"/>
    <w:rsid w:val="555477B7"/>
    <w:rsid w:val="55570796"/>
    <w:rsid w:val="555962BC"/>
    <w:rsid w:val="55C51BA3"/>
    <w:rsid w:val="55DF5B42"/>
    <w:rsid w:val="56002BDB"/>
    <w:rsid w:val="563F54B2"/>
    <w:rsid w:val="571B73B5"/>
    <w:rsid w:val="581666E6"/>
    <w:rsid w:val="5847689F"/>
    <w:rsid w:val="5A951B44"/>
    <w:rsid w:val="5A9A53AC"/>
    <w:rsid w:val="5C265C44"/>
    <w:rsid w:val="5C4F21C6"/>
    <w:rsid w:val="5DBA2A1C"/>
    <w:rsid w:val="5DCB485B"/>
    <w:rsid w:val="5E043B6F"/>
    <w:rsid w:val="5EDA66BF"/>
    <w:rsid w:val="5EEB1A00"/>
    <w:rsid w:val="5EF31AEF"/>
    <w:rsid w:val="5EF37B31"/>
    <w:rsid w:val="5F5F6BC4"/>
    <w:rsid w:val="5F6C3F37"/>
    <w:rsid w:val="5F864151"/>
    <w:rsid w:val="5FA016B7"/>
    <w:rsid w:val="5FD01870"/>
    <w:rsid w:val="60104DCE"/>
    <w:rsid w:val="606345EC"/>
    <w:rsid w:val="608368E3"/>
    <w:rsid w:val="614824B8"/>
    <w:rsid w:val="63A92B04"/>
    <w:rsid w:val="63B70F14"/>
    <w:rsid w:val="64590086"/>
    <w:rsid w:val="64610CE9"/>
    <w:rsid w:val="65444892"/>
    <w:rsid w:val="65540285"/>
    <w:rsid w:val="65622F6B"/>
    <w:rsid w:val="65A05935"/>
    <w:rsid w:val="65EF1956"/>
    <w:rsid w:val="662B1179"/>
    <w:rsid w:val="662B51DE"/>
    <w:rsid w:val="664D7777"/>
    <w:rsid w:val="665E7BD6"/>
    <w:rsid w:val="66C13CC1"/>
    <w:rsid w:val="676C00D0"/>
    <w:rsid w:val="677671A1"/>
    <w:rsid w:val="67BE3034"/>
    <w:rsid w:val="67D83C51"/>
    <w:rsid w:val="68813643"/>
    <w:rsid w:val="68C3134E"/>
    <w:rsid w:val="69456E2B"/>
    <w:rsid w:val="69586B5E"/>
    <w:rsid w:val="69E25D7B"/>
    <w:rsid w:val="69ED549E"/>
    <w:rsid w:val="6A053BDA"/>
    <w:rsid w:val="6A38073E"/>
    <w:rsid w:val="6A8D0A8A"/>
    <w:rsid w:val="6A975464"/>
    <w:rsid w:val="6BC218C5"/>
    <w:rsid w:val="6BE06816"/>
    <w:rsid w:val="6BEB1F0C"/>
    <w:rsid w:val="6BED02E0"/>
    <w:rsid w:val="6C8824A7"/>
    <w:rsid w:val="6CA64085"/>
    <w:rsid w:val="6D3276C6"/>
    <w:rsid w:val="6D6F4EDA"/>
    <w:rsid w:val="6D7B2090"/>
    <w:rsid w:val="6DC36570"/>
    <w:rsid w:val="6DEB4675"/>
    <w:rsid w:val="6E5A5127"/>
    <w:rsid w:val="6E5D69C5"/>
    <w:rsid w:val="6F737553"/>
    <w:rsid w:val="6FAC7C04"/>
    <w:rsid w:val="70007737"/>
    <w:rsid w:val="713D5A1F"/>
    <w:rsid w:val="716562BC"/>
    <w:rsid w:val="71AB5C99"/>
    <w:rsid w:val="71C50B09"/>
    <w:rsid w:val="72643174"/>
    <w:rsid w:val="72824C4C"/>
    <w:rsid w:val="72AC3A77"/>
    <w:rsid w:val="72E871A5"/>
    <w:rsid w:val="7376594F"/>
    <w:rsid w:val="73C37A19"/>
    <w:rsid w:val="73E221DF"/>
    <w:rsid w:val="73F456D6"/>
    <w:rsid w:val="74602D6B"/>
    <w:rsid w:val="748F5196"/>
    <w:rsid w:val="74CE5286"/>
    <w:rsid w:val="74DF1EE2"/>
    <w:rsid w:val="752740CA"/>
    <w:rsid w:val="75357D54"/>
    <w:rsid w:val="75381513"/>
    <w:rsid w:val="75471700"/>
    <w:rsid w:val="75DA08FB"/>
    <w:rsid w:val="76680EDE"/>
    <w:rsid w:val="76E23F0B"/>
    <w:rsid w:val="76FF2D0F"/>
    <w:rsid w:val="7715608F"/>
    <w:rsid w:val="776963DA"/>
    <w:rsid w:val="779D1A5F"/>
    <w:rsid w:val="78006D3F"/>
    <w:rsid w:val="786362C9"/>
    <w:rsid w:val="78986F77"/>
    <w:rsid w:val="78ED447D"/>
    <w:rsid w:val="798F7942"/>
    <w:rsid w:val="79D42231"/>
    <w:rsid w:val="7A3C3932"/>
    <w:rsid w:val="7AAA4D40"/>
    <w:rsid w:val="7B1C44EF"/>
    <w:rsid w:val="7B7B5D4E"/>
    <w:rsid w:val="7B8D77BC"/>
    <w:rsid w:val="7BE129E3"/>
    <w:rsid w:val="7BE92EDF"/>
    <w:rsid w:val="7C39281F"/>
    <w:rsid w:val="7C95557C"/>
    <w:rsid w:val="7CA8740A"/>
    <w:rsid w:val="7CE7227B"/>
    <w:rsid w:val="7DAA32A9"/>
    <w:rsid w:val="7DCF4ABD"/>
    <w:rsid w:val="7DD32800"/>
    <w:rsid w:val="7E790A17"/>
    <w:rsid w:val="7F4B38FB"/>
    <w:rsid w:val="7F7D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2"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长城仿宋体" w:cs="Times New Roman"/>
      <w:kern w:val="2"/>
      <w:sz w:val="32"/>
      <w:szCs w:val="32"/>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autoRedefine/>
    <w:qFormat/>
    <w:uiPriority w:val="2"/>
  </w:style>
  <w:style w:type="paragraph" w:styleId="3">
    <w:name w:val="Body Text"/>
    <w:basedOn w:val="1"/>
    <w:autoRedefine/>
    <w:unhideWhenUsed/>
    <w:qFormat/>
    <w:uiPriority w:val="1"/>
    <w:pPr>
      <w:spacing w:beforeLines="0" w:afterLines="0"/>
    </w:pPr>
    <w:rPr>
      <w:rFonts w:hint="eastAsia" w:ascii="宋体" w:hAnsi="宋体"/>
      <w:sz w:val="32"/>
      <w:lang w:val="zh-CN" w:eastAsia="zh-CN"/>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2904</Words>
  <Characters>2971</Characters>
  <Lines>0</Lines>
  <Paragraphs>0</Paragraphs>
  <TotalTime>13</TotalTime>
  <ScaleCrop>false</ScaleCrop>
  <LinksUpToDate>false</LinksUpToDate>
  <CharactersWithSpaces>3045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2022-01-05T07:16:00Z</dcterms:created>
  <dc:creator>涂国良</dc:creator>
  <cp:lastModifiedBy>？</cp:lastModifiedBy>
  <cp:lastPrinted>2022-12-21T08:09:00Z</cp:lastPrinted>
  <dcterms:modified xsi:type="dcterms:W3CDTF">2024-03-11T01:42:43Z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6EC5D52C73314F55986018E0E520DA5E_13</vt:lpwstr>
  </property>
</Properties>
</file>